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18F" w:rsidRPr="00764A85" w:rsidRDefault="00C2718F" w:rsidP="00290199">
      <w:pPr>
        <w:pageBreakBefore/>
        <w:spacing w:before="120"/>
        <w:jc w:val="center"/>
        <w:rPr>
          <w:b/>
          <w:sz w:val="28"/>
          <w:szCs w:val="28"/>
        </w:rPr>
      </w:pPr>
      <w:r w:rsidRPr="00764A85">
        <w:rPr>
          <w:b/>
          <w:sz w:val="28"/>
          <w:szCs w:val="28"/>
        </w:rPr>
        <w:t>GRANT CONTRACT</w:t>
      </w:r>
    </w:p>
    <w:p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9B1E9E" w:rsidRPr="003C449D" w:rsidRDefault="009B1E9E" w:rsidP="009B1E9E">
      <w:pPr>
        <w:tabs>
          <w:tab w:val="left" w:pos="-1440"/>
          <w:tab w:val="left" w:pos="-720"/>
          <w:tab w:val="left" w:pos="828"/>
          <w:tab w:val="left" w:pos="1044"/>
          <w:tab w:val="left" w:pos="1260"/>
          <w:tab w:val="left" w:pos="1476"/>
          <w:tab w:val="left" w:pos="1692"/>
          <w:tab w:val="left" w:pos="2160"/>
        </w:tabs>
        <w:spacing w:before="120"/>
        <w:jc w:val="both"/>
        <w:rPr>
          <w:sz w:val="22"/>
        </w:rPr>
      </w:pPr>
      <w:r w:rsidRPr="00405BEC">
        <w:rPr>
          <w:sz w:val="22"/>
        </w:rPr>
        <w:t>Ministry of Finance</w:t>
      </w:r>
      <w:r w:rsidRPr="003C449D">
        <w:t xml:space="preserve"> </w:t>
      </w:r>
    </w:p>
    <w:p w:rsidR="009B1E9E" w:rsidRPr="00405BEC" w:rsidRDefault="009B1E9E" w:rsidP="009B1E9E">
      <w:pPr>
        <w:tabs>
          <w:tab w:val="left" w:pos="-1440"/>
          <w:tab w:val="left" w:pos="-720"/>
          <w:tab w:val="left" w:pos="828"/>
          <w:tab w:val="left" w:pos="1044"/>
          <w:tab w:val="left" w:pos="1260"/>
          <w:tab w:val="left" w:pos="1476"/>
          <w:tab w:val="left" w:pos="1692"/>
          <w:tab w:val="left" w:pos="2160"/>
        </w:tabs>
        <w:spacing w:before="120"/>
        <w:jc w:val="both"/>
        <w:rPr>
          <w:sz w:val="22"/>
        </w:rPr>
      </w:pPr>
      <w:r w:rsidRPr="00405BEC">
        <w:rPr>
          <w:sz w:val="22"/>
        </w:rPr>
        <w:t>Directorate for Finance and Contracting of the EU Assistance Funds,</w:t>
      </w:r>
    </w:p>
    <w:p w:rsidR="009B1E9E" w:rsidRPr="00405BEC" w:rsidRDefault="009B1E9E" w:rsidP="009B1E9E">
      <w:pPr>
        <w:tabs>
          <w:tab w:val="left" w:pos="-1440"/>
          <w:tab w:val="left" w:pos="-720"/>
          <w:tab w:val="left" w:pos="828"/>
          <w:tab w:val="left" w:pos="1044"/>
          <w:tab w:val="left" w:pos="1260"/>
          <w:tab w:val="left" w:pos="1476"/>
          <w:tab w:val="left" w:pos="1692"/>
          <w:tab w:val="left" w:pos="2160"/>
        </w:tabs>
        <w:spacing w:before="120"/>
        <w:jc w:val="both"/>
        <w:rPr>
          <w:sz w:val="22"/>
        </w:rPr>
      </w:pPr>
      <w:r w:rsidRPr="00405BEC">
        <w:rPr>
          <w:sz w:val="22"/>
        </w:rPr>
        <w:t xml:space="preserve">Stanka Dragojevića 2, </w:t>
      </w:r>
    </w:p>
    <w:p w:rsidR="009B1E9E" w:rsidRPr="00405BEC" w:rsidRDefault="009B1E9E" w:rsidP="009B1E9E">
      <w:pPr>
        <w:tabs>
          <w:tab w:val="left" w:pos="-1440"/>
          <w:tab w:val="left" w:pos="-720"/>
          <w:tab w:val="left" w:pos="828"/>
          <w:tab w:val="left" w:pos="1044"/>
          <w:tab w:val="left" w:pos="1260"/>
          <w:tab w:val="left" w:pos="1476"/>
          <w:tab w:val="left" w:pos="1692"/>
          <w:tab w:val="left" w:pos="2160"/>
        </w:tabs>
        <w:spacing w:before="120"/>
        <w:jc w:val="both"/>
        <w:rPr>
          <w:sz w:val="22"/>
        </w:rPr>
      </w:pPr>
      <w:r w:rsidRPr="00405BEC">
        <w:rPr>
          <w:sz w:val="22"/>
        </w:rPr>
        <w:t xml:space="preserve">81 000 Podgorica, Montenegro  </w:t>
      </w:r>
    </w:p>
    <w:p w:rsidR="009B1E9E" w:rsidRPr="00764A85" w:rsidRDefault="009B1E9E" w:rsidP="009B1E9E">
      <w:pPr>
        <w:tabs>
          <w:tab w:val="left" w:pos="-1440"/>
          <w:tab w:val="left" w:pos="-720"/>
          <w:tab w:val="left" w:pos="828"/>
          <w:tab w:val="left" w:pos="1044"/>
          <w:tab w:val="left" w:pos="1260"/>
          <w:tab w:val="left" w:pos="1476"/>
          <w:tab w:val="left" w:pos="1692"/>
          <w:tab w:val="left" w:pos="2160"/>
        </w:tabs>
        <w:spacing w:before="120"/>
        <w:jc w:val="both"/>
        <w:rPr>
          <w:sz w:val="22"/>
        </w:rPr>
      </w:pPr>
      <w:r w:rsidRPr="00405BEC">
        <w:rPr>
          <w:sz w:val="22"/>
        </w:rPr>
        <w:t>(the ‘contracting authority’)</w:t>
      </w:r>
    </w:p>
    <w:p w:rsidR="00C2718F" w:rsidRDefault="00C2718F" w:rsidP="00532286">
      <w:pPr>
        <w:tabs>
          <w:tab w:val="left" w:pos="-1701"/>
          <w:tab w:val="left" w:pos="-1560"/>
          <w:tab w:val="left" w:pos="-1440"/>
        </w:tabs>
        <w:spacing w:before="120"/>
        <w:jc w:val="right"/>
        <w:rPr>
          <w:sz w:val="22"/>
        </w:rPr>
      </w:pPr>
      <w:r w:rsidRPr="00764A85">
        <w:rPr>
          <w:sz w:val="22"/>
        </w:rPr>
        <w:t>of the one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sidRPr="00764A85">
        <w:rPr>
          <w:sz w:val="22"/>
        </w:rPr>
        <w:t>and</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A85984">
        <w:rPr>
          <w:sz w:val="22"/>
          <w:szCs w:val="22"/>
          <w:highlight w:val="lightGray"/>
        </w:rPr>
        <w:t>hereinafter the</w:t>
      </w:r>
      <w:r w:rsidR="00B9146B" w:rsidRPr="00A85984">
        <w:rPr>
          <w:sz w:val="22"/>
          <w:szCs w:val="22"/>
          <w:highlight w:val="lightGray"/>
        </w:rPr>
        <w:t xml:space="preserve"> </w:t>
      </w:r>
      <w:r w:rsidR="003C0331" w:rsidRPr="00A85984">
        <w:rPr>
          <w:sz w:val="22"/>
          <w:szCs w:val="22"/>
          <w:highlight w:val="lightGray"/>
        </w:rPr>
        <w:t>‘</w:t>
      </w:r>
      <w:r w:rsidR="00BF0980" w:rsidRPr="00A85984">
        <w:rPr>
          <w:sz w:val="22"/>
          <w:szCs w:val="22"/>
          <w:highlight w:val="lightGray"/>
        </w:rPr>
        <w:t>c</w:t>
      </w:r>
      <w:r w:rsidR="00B9146B" w:rsidRPr="00A85984">
        <w:rPr>
          <w:sz w:val="22"/>
          <w:szCs w:val="22"/>
          <w:highlight w:val="lightGray"/>
        </w:rPr>
        <w:t>o</w:t>
      </w:r>
      <w:r w:rsidR="00360390" w:rsidRPr="00A85984">
        <w:rPr>
          <w:sz w:val="22"/>
          <w:szCs w:val="22"/>
          <w:highlight w:val="lightGray"/>
        </w:rPr>
        <w:t>ordinator</w:t>
      </w:r>
      <w:r w:rsidR="003C0331" w:rsidRPr="00A85984">
        <w:rPr>
          <w:sz w:val="22"/>
          <w:szCs w:val="22"/>
          <w:highlight w:val="lightGray"/>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A85984">
        <w:rPr>
          <w:sz w:val="22"/>
          <w:szCs w:val="22"/>
          <w:highlight w:val="lightGray"/>
        </w:rPr>
        <w:t>and</w:t>
      </w:r>
      <w:r w:rsidR="00360390" w:rsidRPr="00764A85">
        <w:rPr>
          <w:sz w:val="22"/>
          <w:szCs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A85984">
        <w:rPr>
          <w:sz w:val="22"/>
          <w:szCs w:val="22"/>
          <w:highlight w:val="lightGray"/>
        </w:rPr>
        <w:t>who have conferred powers of attorney for the purposes of the signature of the agreement t</w:t>
      </w:r>
      <w:r w:rsidR="00B9146B" w:rsidRPr="00A85984">
        <w:rPr>
          <w:sz w:val="22"/>
          <w:szCs w:val="22"/>
          <w:highlight w:val="lightGray"/>
        </w:rPr>
        <w:t xml:space="preserve">o the </w:t>
      </w:r>
      <w:r w:rsidR="00BF0980" w:rsidRPr="00A85984">
        <w:rPr>
          <w:sz w:val="22"/>
          <w:szCs w:val="22"/>
          <w:highlight w:val="lightGray"/>
        </w:rPr>
        <w:t>c</w:t>
      </w:r>
      <w:r w:rsidR="00B9146B" w:rsidRPr="00A85984">
        <w:rPr>
          <w:sz w:val="22"/>
          <w:szCs w:val="22"/>
          <w:highlight w:val="lightGray"/>
        </w:rPr>
        <w:t>oo</w:t>
      </w:r>
      <w:r w:rsidRPr="00A85984">
        <w:rPr>
          <w:sz w:val="22"/>
          <w:szCs w:val="22"/>
          <w:highlight w:val="lightGray"/>
        </w:rPr>
        <w:t>rdinator</w:t>
      </w:r>
      <w:r w:rsidR="00B67F8B" w:rsidRPr="00A85984">
        <w:rPr>
          <w:rStyle w:val="FootnoteReference"/>
          <w:sz w:val="22"/>
          <w:szCs w:val="22"/>
          <w:highlight w:val="lightGray"/>
        </w:rPr>
        <w:footnoteReference w:id="1"/>
      </w:r>
      <w:r w:rsidRPr="00A85984">
        <w:rPr>
          <w:sz w:val="22"/>
          <w:szCs w:val="22"/>
          <w:highlight w:val="lightGray"/>
        </w:rPr>
        <w:t xml:space="preserve">, collectively </w:t>
      </w:r>
      <w:r w:rsidR="00B9146B" w:rsidRPr="00A85984">
        <w:rPr>
          <w:sz w:val="22"/>
          <w:szCs w:val="22"/>
          <w:highlight w:val="lightGray"/>
        </w:rPr>
        <w:t xml:space="preserve">referred to as </w:t>
      </w:r>
      <w:r w:rsidR="003C0331" w:rsidRPr="00A85984">
        <w:rPr>
          <w:sz w:val="22"/>
          <w:szCs w:val="22"/>
          <w:highlight w:val="lightGray"/>
        </w:rPr>
        <w:t>‘b</w:t>
      </w:r>
      <w:r w:rsidR="00B9146B" w:rsidRPr="00A85984">
        <w:rPr>
          <w:sz w:val="22"/>
          <w:szCs w:val="22"/>
          <w:highlight w:val="lightGray"/>
        </w:rPr>
        <w:t>eneficiary(ies)</w:t>
      </w:r>
      <w:r w:rsidR="003C0331" w:rsidRPr="00A85984">
        <w:rPr>
          <w:sz w:val="22"/>
          <w:szCs w:val="22"/>
          <w:highlight w:val="lightGray"/>
        </w:rPr>
        <w:t>’</w:t>
      </w:r>
      <w:r w:rsidRPr="00A85984">
        <w:rPr>
          <w:sz w:val="22"/>
          <w:szCs w:val="22"/>
          <w:highlight w:val="lightGray"/>
        </w:rPr>
        <w:t xml:space="preserve"> where a provision applie</w:t>
      </w:r>
      <w:r w:rsidR="00360390" w:rsidRPr="00A85984">
        <w:rPr>
          <w:sz w:val="22"/>
          <w:szCs w:val="22"/>
          <w:highlight w:val="lightGray"/>
        </w:rPr>
        <w:t xml:space="preserve">s without distinction to the </w:t>
      </w:r>
      <w:r w:rsidR="00BF0980" w:rsidRPr="00A85984">
        <w:rPr>
          <w:sz w:val="22"/>
          <w:szCs w:val="22"/>
          <w:highlight w:val="lightGray"/>
        </w:rPr>
        <w:t>c</w:t>
      </w:r>
      <w:r w:rsidR="00360390" w:rsidRPr="00A85984">
        <w:rPr>
          <w:sz w:val="22"/>
          <w:szCs w:val="22"/>
          <w:highlight w:val="lightGray"/>
        </w:rPr>
        <w:t xml:space="preserve">oordinator and </w:t>
      </w:r>
      <w:r w:rsidR="006A0EBA" w:rsidRPr="00A85984">
        <w:rPr>
          <w:sz w:val="22"/>
          <w:szCs w:val="22"/>
          <w:highlight w:val="lightGray"/>
        </w:rPr>
        <w:t>the co-</w:t>
      </w:r>
      <w:r w:rsidR="003C0331" w:rsidRPr="00A85984">
        <w:rPr>
          <w:sz w:val="22"/>
          <w:szCs w:val="22"/>
          <w:highlight w:val="lightGray"/>
        </w:rPr>
        <w:t>b</w:t>
      </w:r>
      <w:r w:rsidR="006A0EBA" w:rsidRPr="00A85984">
        <w:rPr>
          <w:sz w:val="22"/>
          <w:szCs w:val="22"/>
          <w:highlight w:val="lightGray"/>
        </w:rPr>
        <w:t>eneficiary(ies)</w:t>
      </w:r>
      <w:r w:rsidR="00B63EAC" w:rsidRPr="00B63EAC">
        <w:rPr>
          <w:sz w:val="22"/>
          <w:szCs w:val="22"/>
        </w:rPr>
        <w:t xml:space="preserve"> </w:t>
      </w:r>
      <w:r w:rsidR="00B63EAC">
        <w:rPr>
          <w:sz w:val="22"/>
          <w:szCs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sidRPr="00764A85">
        <w:rPr>
          <w:sz w:val="22"/>
        </w:rPr>
        <w:t>have agreed as follows:</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sidRPr="00764A85">
        <w:rPr>
          <w:b/>
          <w:sz w:val="28"/>
        </w:rPr>
        <w:lastRenderedPageBreak/>
        <w:t>Special conditions</w:t>
      </w:r>
    </w:p>
    <w:p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A56DEF" w:rsidRPr="009B1E9E">
        <w:rPr>
          <w:sz w:val="22"/>
        </w:rPr>
        <w:t xml:space="preserve">the implementation of </w:t>
      </w:r>
      <w:r w:rsidRPr="009B1E9E">
        <w:rPr>
          <w:sz w:val="22"/>
        </w:rPr>
        <w:t xml:space="preserve">the </w:t>
      </w:r>
      <w:r w:rsidR="00F21491" w:rsidRPr="009B1E9E">
        <w:rPr>
          <w:sz w:val="22"/>
        </w:rPr>
        <w:t>a</w:t>
      </w:r>
      <w:r w:rsidRPr="009B1E9E">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9B1E9E">
        <w:rPr>
          <w:sz w:val="22"/>
        </w:rPr>
        <w:t>&gt;</w:t>
      </w:r>
      <w:r w:rsidRPr="009B1E9E">
        <w:rPr>
          <w:sz w:val="22"/>
        </w:rPr>
        <w:t xml:space="preserve"> (the </w:t>
      </w:r>
      <w:r w:rsidR="00B479BA" w:rsidRPr="009B1E9E">
        <w:rPr>
          <w:sz w:val="22"/>
        </w:rPr>
        <w:t>‘</w:t>
      </w:r>
      <w:r w:rsidR="00BF0980" w:rsidRPr="009B1E9E">
        <w:rPr>
          <w:sz w:val="22"/>
        </w:rPr>
        <w:t>a</w:t>
      </w:r>
      <w:r w:rsidRPr="009B1E9E">
        <w:rPr>
          <w:sz w:val="22"/>
        </w:rPr>
        <w:t>ction</w:t>
      </w:r>
      <w:r w:rsidR="00B479BA" w:rsidRPr="009B1E9E">
        <w:rPr>
          <w:sz w:val="22"/>
        </w:rPr>
        <w:t>’</w:t>
      </w:r>
      <w:r w:rsidRPr="009B1E9E">
        <w:rPr>
          <w:sz w:val="22"/>
        </w:rPr>
        <w:t>)</w:t>
      </w:r>
      <w:r w:rsidR="009B1E9E" w:rsidRPr="009B1E9E">
        <w:rPr>
          <w:sz w:val="22"/>
        </w:rPr>
        <w:t xml:space="preserve"> </w:t>
      </w:r>
      <w:r w:rsidR="002E60D5" w:rsidRPr="009B1E9E">
        <w:rPr>
          <w:sz w:val="22"/>
        </w:rPr>
        <w:t>described</w:t>
      </w:r>
      <w:r w:rsidR="002E60D5" w:rsidRPr="00764A85">
        <w:rPr>
          <w:sz w:val="22"/>
        </w:rPr>
        <w:t xml:space="preserve"> in Annex I</w:t>
      </w:r>
      <w:r w:rsidRPr="00764A85">
        <w:rPr>
          <w:sz w:val="22"/>
        </w:rPr>
        <w:t>.</w:t>
      </w:r>
    </w:p>
    <w:p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rsidR="00C2718F" w:rsidRPr="00A85984"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BF0980" w:rsidRPr="009B1E9E">
        <w:rPr>
          <w:sz w:val="22"/>
        </w:rPr>
        <w:t>a</w:t>
      </w:r>
      <w:r w:rsidRPr="009B1E9E">
        <w:rPr>
          <w:sz w:val="22"/>
        </w:rPr>
        <w:t>ction</w:t>
      </w:r>
      <w:r w:rsidR="00FB0431" w:rsidRPr="009B1E9E">
        <w:rPr>
          <w:sz w:val="22"/>
        </w:rPr>
        <w:t xml:space="preserve"> </w:t>
      </w:r>
      <w:r w:rsidRPr="00764A85">
        <w:rPr>
          <w:sz w:val="22"/>
        </w:rPr>
        <w:t xml:space="preserve"> shall begin on:</w:t>
      </w:r>
    </w:p>
    <w:p w:rsidR="00C2718F" w:rsidRPr="00F13D45" w:rsidRDefault="00C2718F" w:rsidP="00532286">
      <w:pPr>
        <w:spacing w:before="120"/>
        <w:ind w:left="567"/>
        <w:jc w:val="both"/>
        <w:rPr>
          <w:sz w:val="22"/>
          <w:highlight w:val="yellow"/>
        </w:rPr>
      </w:pPr>
      <w:r w:rsidRPr="00F13D45">
        <w:rPr>
          <w:sz w:val="22"/>
          <w:highlight w:val="yellow"/>
        </w:rPr>
        <w:t>choose one of the following:</w:t>
      </w:r>
    </w:p>
    <w:p w:rsidR="00C2718F" w:rsidRPr="00A85984" w:rsidRDefault="00C2718F" w:rsidP="00532286">
      <w:pPr>
        <w:widowControl w:val="0"/>
        <w:spacing w:before="120"/>
        <w:ind w:left="851" w:hanging="142"/>
        <w:rPr>
          <w:snapToGrid w:val="0"/>
          <w:sz w:val="22"/>
          <w:highlight w:val="lightGray"/>
        </w:rPr>
      </w:pPr>
      <w:r w:rsidRPr="00A85984">
        <w:rPr>
          <w:i/>
          <w:snapToGrid w:val="0"/>
          <w:sz w:val="22"/>
          <w:highlight w:val="lightGray"/>
        </w:rPr>
        <w:t>-</w:t>
      </w:r>
      <w:r w:rsidRPr="00A85984">
        <w:rPr>
          <w:snapToGrid w:val="0"/>
          <w:sz w:val="22"/>
          <w:highlight w:val="lightGray"/>
        </w:rPr>
        <w:tab/>
      </w:r>
      <w:r w:rsidR="00DA3E61" w:rsidRPr="00A85984">
        <w:rPr>
          <w:snapToGrid w:val="0"/>
          <w:sz w:val="22"/>
          <w:highlight w:val="lightGray"/>
        </w:rPr>
        <w:t>[</w:t>
      </w:r>
      <w:r w:rsidRPr="00A85984">
        <w:rPr>
          <w:snapToGrid w:val="0"/>
          <w:sz w:val="22"/>
          <w:highlight w:val="lightGray"/>
        </w:rPr>
        <w:t xml:space="preserve">the day following that on which the </w:t>
      </w:r>
      <w:r w:rsidR="00F21491" w:rsidRPr="00A85984">
        <w:rPr>
          <w:snapToGrid w:val="0"/>
          <w:sz w:val="22"/>
          <w:highlight w:val="lightGray"/>
        </w:rPr>
        <w:t xml:space="preserve">second </w:t>
      </w:r>
      <w:r w:rsidRPr="00A85984">
        <w:rPr>
          <w:snapToGrid w:val="0"/>
          <w:sz w:val="22"/>
          <w:highlight w:val="lightGray"/>
        </w:rPr>
        <w:t xml:space="preserve">of the two </w:t>
      </w:r>
      <w:r w:rsidR="003C0331" w:rsidRPr="00A85984">
        <w:rPr>
          <w:snapToGrid w:val="0"/>
          <w:sz w:val="22"/>
          <w:highlight w:val="lightGray"/>
        </w:rPr>
        <w:t>p</w:t>
      </w:r>
      <w:r w:rsidRPr="00A85984">
        <w:rPr>
          <w:snapToGrid w:val="0"/>
          <w:sz w:val="22"/>
          <w:highlight w:val="lightGray"/>
        </w:rPr>
        <w:t>arties signs</w:t>
      </w:r>
      <w:r w:rsidR="00DA3E61" w:rsidRPr="00A85984">
        <w:rPr>
          <w:snapToGrid w:val="0"/>
          <w:sz w:val="22"/>
          <w:highlight w:val="lightGray"/>
        </w:rPr>
        <w:t>]</w:t>
      </w:r>
    </w:p>
    <w:p w:rsidR="00FA57C7" w:rsidRPr="00A85984" w:rsidRDefault="00C2718F" w:rsidP="00532286">
      <w:pPr>
        <w:spacing w:before="120"/>
        <w:ind w:left="851" w:hanging="142"/>
        <w:jc w:val="both"/>
        <w:rPr>
          <w:snapToGrid w:val="0"/>
          <w:sz w:val="22"/>
          <w:highlight w:val="lightGray"/>
        </w:rPr>
      </w:pPr>
      <w:r w:rsidRPr="00A85984">
        <w:rPr>
          <w:snapToGrid w:val="0"/>
          <w:sz w:val="22"/>
          <w:highlight w:val="lightGray"/>
        </w:rPr>
        <w:t>-</w:t>
      </w:r>
      <w:r w:rsidRPr="00A85984">
        <w:rPr>
          <w:snapToGrid w:val="0"/>
          <w:sz w:val="22"/>
          <w:highlight w:val="lightGray"/>
        </w:rPr>
        <w:tab/>
      </w:r>
      <w:r w:rsidR="00DA3E61" w:rsidRPr="00A85984">
        <w:rPr>
          <w:snapToGrid w:val="0"/>
          <w:sz w:val="22"/>
          <w:highlight w:val="lightGray"/>
        </w:rPr>
        <w:t>[</w:t>
      </w:r>
      <w:r w:rsidRPr="00A85984">
        <w:rPr>
          <w:snapToGrid w:val="0"/>
          <w:sz w:val="22"/>
          <w:highlight w:val="lightGray"/>
        </w:rPr>
        <w:t>the first day of the month following the date on which the first instalment of pre</w:t>
      </w:r>
      <w:r w:rsidR="00A55B1E" w:rsidRPr="00A85984">
        <w:rPr>
          <w:snapToGrid w:val="0"/>
          <w:sz w:val="22"/>
          <w:highlight w:val="lightGray"/>
        </w:rPr>
        <w:t>-</w:t>
      </w:r>
      <w:r w:rsidRPr="00A85984">
        <w:rPr>
          <w:snapToGrid w:val="0"/>
          <w:sz w:val="22"/>
          <w:highlight w:val="lightGray"/>
        </w:rPr>
        <w:t xml:space="preserve">financing is paid by the </w:t>
      </w:r>
      <w:r w:rsidR="00BF0980" w:rsidRPr="00A85984">
        <w:rPr>
          <w:snapToGrid w:val="0"/>
          <w:sz w:val="22"/>
          <w:highlight w:val="lightGray"/>
        </w:rPr>
        <w:t>c</w:t>
      </w:r>
      <w:r w:rsidRPr="00A85984">
        <w:rPr>
          <w:snapToGrid w:val="0"/>
          <w:sz w:val="22"/>
          <w:highlight w:val="lightGray"/>
        </w:rPr>
        <w:t xml:space="preserve">ontracting </w:t>
      </w:r>
      <w:r w:rsidR="00BF0980" w:rsidRPr="00A85984">
        <w:rPr>
          <w:snapToGrid w:val="0"/>
          <w:sz w:val="22"/>
          <w:highlight w:val="lightGray"/>
        </w:rPr>
        <w:t>a</w:t>
      </w:r>
      <w:r w:rsidRPr="00A85984">
        <w:rPr>
          <w:snapToGrid w:val="0"/>
          <w:sz w:val="22"/>
          <w:highlight w:val="lightGray"/>
        </w:rPr>
        <w:t>uthority</w:t>
      </w:r>
      <w:r w:rsidR="00DA3E61" w:rsidRPr="00A85984">
        <w:rPr>
          <w:snapToGrid w:val="0"/>
          <w:sz w:val="22"/>
          <w:highlight w:val="lightGray"/>
        </w:rPr>
        <w:t>]</w:t>
      </w:r>
    </w:p>
    <w:p w:rsidR="00C2718F" w:rsidRPr="00041A83" w:rsidRDefault="00C2718F" w:rsidP="00532286">
      <w:pPr>
        <w:spacing w:before="120"/>
        <w:ind w:left="851" w:hanging="142"/>
        <w:jc w:val="both"/>
        <w:rPr>
          <w:snapToGrid w:val="0"/>
          <w:sz w:val="22"/>
          <w:highlight w:val="yellow"/>
        </w:rPr>
      </w:pPr>
      <w:r w:rsidRPr="00A85984">
        <w:rPr>
          <w:snapToGrid w:val="0"/>
          <w:sz w:val="22"/>
          <w:highlight w:val="lightGray"/>
        </w:rPr>
        <w:t>-</w:t>
      </w:r>
      <w:r w:rsidRPr="00A85984">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9B1E9E">
        <w:rPr>
          <w:sz w:val="22"/>
        </w:rPr>
        <w:t>a</w:t>
      </w:r>
      <w:r w:rsidR="00615407" w:rsidRPr="009B1E9E">
        <w:rPr>
          <w:sz w:val="22"/>
        </w:rPr>
        <w:t>ction</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2"/>
      </w:r>
    </w:p>
    <w:p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9B1E9E">
        <w:rPr>
          <w:sz w:val="22"/>
        </w:rPr>
        <w:t>EUR</w:t>
      </w:r>
      <w:r w:rsidR="009B1E9E">
        <w:rPr>
          <w:sz w:val="22"/>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F21491" w:rsidRPr="009B1E9E">
        <w:rPr>
          <w:sz w:val="22"/>
        </w:rPr>
        <w:t>EUR</w:t>
      </w:r>
      <w:r w:rsidR="009B1E9E">
        <w:rPr>
          <w:sz w:val="22"/>
        </w:rPr>
        <w:t xml:space="preserve"> </w:t>
      </w:r>
      <w:r w:rsidR="00041A83">
        <w:rPr>
          <w:sz w:val="22"/>
        </w:rPr>
        <w:t>&lt;</w:t>
      </w:r>
      <w:r w:rsidR="00041A83" w:rsidRPr="00F13D45">
        <w:rPr>
          <w:sz w:val="22"/>
          <w:highlight w:val="yellow"/>
        </w:rPr>
        <w:t>amount</w:t>
      </w:r>
      <w:r w:rsidR="00041A83">
        <w:rPr>
          <w:sz w:val="22"/>
        </w:rPr>
        <w:t>&gt;</w:t>
      </w:r>
      <w:r w:rsidR="007F2301" w:rsidRPr="00764A85">
        <w:rPr>
          <w:sz w:val="22"/>
        </w:rPr>
        <w:t xml:space="preserve">. </w:t>
      </w:r>
    </w:p>
    <w:p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BF0980" w:rsidRPr="009B1E9E">
        <w:rPr>
          <w:sz w:val="22"/>
        </w:rPr>
        <w:t>a</w:t>
      </w:r>
      <w:r w:rsidR="0045327B" w:rsidRPr="009B1E9E">
        <w:rPr>
          <w:sz w:val="22"/>
        </w:rPr>
        <w:t>ction</w:t>
      </w:r>
      <w:r w:rsidR="00846B5A" w:rsidRPr="009B1E9E">
        <w:rPr>
          <w:sz w:val="22"/>
        </w:rPr>
        <w:t xml:space="preserve"> </w:t>
      </w:r>
      <w:r w:rsidR="009811B2" w:rsidRPr="00764A85">
        <w:rPr>
          <w:sz w:val="22"/>
        </w:rPr>
        <w:t>specified in paragraph 1</w:t>
      </w:r>
      <w:r w:rsidR="00121C26" w:rsidRPr="00764A85">
        <w:rPr>
          <w:sz w:val="22"/>
        </w:rPr>
        <w:t>.</w:t>
      </w:r>
    </w:p>
    <w:p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rsidR="00CD0D3A" w:rsidRPr="00764A85" w:rsidRDefault="00C676C0" w:rsidP="00532286">
      <w:pPr>
        <w:spacing w:before="120"/>
        <w:ind w:left="567" w:hanging="567"/>
        <w:jc w:val="both"/>
        <w:rPr>
          <w:sz w:val="22"/>
        </w:rPr>
      </w:pPr>
      <w:r>
        <w:rPr>
          <w:sz w:val="22"/>
        </w:rPr>
        <w:t>3.3</w:t>
      </w:r>
      <w:r>
        <w:rPr>
          <w:sz w:val="22"/>
        </w:rPr>
        <w:tab/>
      </w:r>
      <w:r w:rsidR="00CD0D3A" w:rsidRPr="009B1E9E">
        <w:rPr>
          <w:sz w:val="22"/>
        </w:rPr>
        <w:t>Pursuant to Article 14.</w:t>
      </w:r>
      <w:r w:rsidR="007665B9" w:rsidRPr="009B1E9E">
        <w:rPr>
          <w:sz w:val="22"/>
        </w:rPr>
        <w:t>8</w:t>
      </w:r>
      <w:r w:rsidR="00CD0D3A" w:rsidRPr="009B1E9E">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9B1E9E">
        <w:rPr>
          <w:sz w:val="22"/>
        </w:rPr>
        <w:t xml:space="preserve">&gt;% of the final </w:t>
      </w:r>
      <w:r w:rsidR="00272880" w:rsidRPr="009B1E9E">
        <w:rPr>
          <w:sz w:val="22"/>
        </w:rPr>
        <w:t>amount of direct eligible costs</w:t>
      </w:r>
      <w:r w:rsidR="00C81A9D" w:rsidRPr="009B1E9E">
        <w:rPr>
          <w:sz w:val="22"/>
        </w:rPr>
        <w:t xml:space="preserve"> </w:t>
      </w:r>
      <w:r w:rsidR="00CD0D3A" w:rsidRPr="009B1E9E">
        <w:rPr>
          <w:sz w:val="22"/>
        </w:rPr>
        <w:t xml:space="preserve">of the </w:t>
      </w:r>
      <w:r w:rsidR="00BF0980" w:rsidRPr="009B1E9E">
        <w:rPr>
          <w:sz w:val="22"/>
        </w:rPr>
        <w:t>a</w:t>
      </w:r>
      <w:r w:rsidR="00CD0D3A" w:rsidRPr="009B1E9E">
        <w:rPr>
          <w:sz w:val="22"/>
        </w:rPr>
        <w:t>ction established in accordance with Articles 14 and 17 of Annex II, may be claimed as indirect costs.</w:t>
      </w:r>
      <w:r w:rsidR="00F30DCF" w:rsidRPr="00764A85">
        <w:rPr>
          <w:sz w:val="22"/>
        </w:rPr>
        <w:t xml:space="preserve"> </w:t>
      </w:r>
    </w:p>
    <w:p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 xml:space="preserve"> 1</w:t>
      </w:r>
      <w:r w:rsidR="00AB7BC6" w:rsidRPr="00764A85">
        <w:rPr>
          <w:sz w:val="22"/>
          <w:highlight w:val="yellow"/>
        </w:rPr>
        <w:t xml:space="preserve"> </w:t>
      </w:r>
      <w:r w:rsidR="00FD4DB3">
        <w:rPr>
          <w:sz w:val="22"/>
          <w:highlight w:val="yellow"/>
        </w:rPr>
        <w:t xml:space="preserve">or </w:t>
      </w:r>
      <w:r w:rsidR="00AB7BC6" w:rsidRPr="00764A85">
        <w:rPr>
          <w:sz w:val="22"/>
          <w:highlight w:val="yellow"/>
        </w:rPr>
        <w:t>2 &gt;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rsidR="00FD4DB3" w:rsidRPr="0061088F" w:rsidRDefault="00FD4DB3" w:rsidP="0061088F">
      <w:pPr>
        <w:pStyle w:val="Text1"/>
        <w:spacing w:before="120" w:after="0"/>
        <w:ind w:left="567"/>
        <w:jc w:val="both"/>
        <w:rPr>
          <w:b/>
          <w:sz w:val="22"/>
          <w:highlight w:val="yellow"/>
        </w:rPr>
      </w:pPr>
      <w:r w:rsidRPr="00764A85">
        <w:rPr>
          <w:b/>
          <w:sz w:val="22"/>
          <w:highlight w:val="yellow"/>
          <w:u w:val="single"/>
        </w:rPr>
        <w:t>[Option 1 and 2]</w:t>
      </w:r>
    </w:p>
    <w:p w:rsidR="00C2718F"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B479BA" w:rsidRPr="009B1E9E">
        <w:rPr>
          <w:sz w:val="22"/>
        </w:rPr>
        <w:t>EUR</w:t>
      </w:r>
      <w:r w:rsidR="009B1E9E">
        <w:rPr>
          <w:sz w:val="22"/>
        </w:rPr>
        <w:t xml:space="preserve"> </w:t>
      </w:r>
      <w:r w:rsidR="00041A83">
        <w:rPr>
          <w:sz w:val="22"/>
        </w:rPr>
        <w:t>&lt;</w:t>
      </w:r>
      <w:r w:rsidR="00041A83" w:rsidRPr="00F13D45">
        <w:rPr>
          <w:sz w:val="22"/>
          <w:highlight w:val="yellow"/>
        </w:rPr>
        <w:t>amount</w:t>
      </w:r>
      <w:r w:rsidR="00041A83">
        <w:rPr>
          <w:sz w:val="22"/>
        </w:rPr>
        <w:t>&gt;.</w:t>
      </w:r>
    </w:p>
    <w:p w:rsidR="00FD4DB3" w:rsidRDefault="00FD4DB3" w:rsidP="00FD4DB3">
      <w:pPr>
        <w:pStyle w:val="Text1"/>
        <w:spacing w:before="120" w:after="0"/>
        <w:ind w:left="567"/>
        <w:jc w:val="both"/>
        <w:rPr>
          <w:b/>
          <w:sz w:val="22"/>
          <w:highlight w:val="yellow"/>
          <w:u w:val="single"/>
        </w:rPr>
      </w:pPr>
      <w:r w:rsidRPr="00764A85">
        <w:rPr>
          <w:b/>
          <w:sz w:val="22"/>
          <w:highlight w:val="yellow"/>
          <w:u w:val="single"/>
        </w:rPr>
        <w:t xml:space="preserve">[Option 2 only.] </w:t>
      </w:r>
    </w:p>
    <w:p w:rsidR="00FD4DB3" w:rsidRPr="002326A2" w:rsidRDefault="00FD4DB3" w:rsidP="00FD4DB3">
      <w:pPr>
        <w:pStyle w:val="Text1"/>
        <w:spacing w:before="120" w:after="0"/>
        <w:ind w:left="567"/>
        <w:jc w:val="both"/>
        <w:rPr>
          <w:sz w:val="22"/>
          <w:highlight w:val="yellow"/>
        </w:rPr>
      </w:pPr>
      <w:r w:rsidRPr="00F13D45">
        <w:rPr>
          <w:sz w:val="22"/>
          <w:highlight w:val="yellow"/>
        </w:rPr>
        <w:t xml:space="preserve">Note that the forecast instalments should be indicated as one global amount and not broken down per payment. The actual instalments will be based on the updated forecast for the next reporting period. </w:t>
      </w:r>
      <w:r w:rsidRPr="00F13D45">
        <w:rPr>
          <w:sz w:val="22"/>
          <w:highlight w:val="yellow"/>
        </w:rPr>
        <w:lastRenderedPageBreak/>
        <w:t xml:space="preserve">The total sum of pre-financing payments may not exceed 90 % of the amount referred to in Article 3.2 of the </w:t>
      </w:r>
      <w:r>
        <w:rPr>
          <w:sz w:val="22"/>
          <w:highlight w:val="yellow"/>
        </w:rPr>
        <w:t>s</w:t>
      </w:r>
      <w:r w:rsidRPr="00F13D45">
        <w:rPr>
          <w:sz w:val="22"/>
          <w:highlight w:val="yellow"/>
        </w:rPr>
        <w:t xml:space="preserve">pecial </w:t>
      </w:r>
      <w:r>
        <w:rPr>
          <w:sz w:val="22"/>
          <w:highlight w:val="yellow"/>
        </w:rPr>
        <w:t>c</w:t>
      </w:r>
      <w:r w:rsidRPr="00F13D45">
        <w:rPr>
          <w:sz w:val="22"/>
          <w:highlight w:val="yellow"/>
        </w:rPr>
        <w:t>onditions, excluding not authorised contingencies</w:t>
      </w:r>
      <w:r w:rsidRPr="002326A2">
        <w:rPr>
          <w:sz w:val="22"/>
          <w:highlight w:val="yellow"/>
        </w:rPr>
        <w:t>.</w:t>
      </w:r>
    </w:p>
    <w:p w:rsidR="00FD4DB3" w:rsidRPr="00764A85" w:rsidRDefault="00FD4DB3" w:rsidP="00FD4DB3">
      <w:pPr>
        <w:tabs>
          <w:tab w:val="left" w:pos="4536"/>
        </w:tabs>
        <w:spacing w:before="120"/>
        <w:ind w:left="567"/>
        <w:jc w:val="both"/>
        <w:rPr>
          <w:sz w:val="22"/>
          <w:highlight w:val="yellow"/>
        </w:rPr>
      </w:pPr>
      <w:r w:rsidRPr="00764A85">
        <w:rPr>
          <w:sz w:val="22"/>
        </w:rPr>
        <w:t>Further pre-financing payments(s):</w:t>
      </w:r>
      <w:r w:rsidRPr="00041A83">
        <w:rPr>
          <w:sz w:val="22"/>
        </w:rPr>
        <w:t xml:space="preserve"> </w:t>
      </w:r>
      <w:r w:rsidRPr="0061088F">
        <w:rPr>
          <w:sz w:val="22"/>
        </w:rPr>
        <w:t>EUR</w:t>
      </w:r>
      <w:r>
        <w:rPr>
          <w:sz w:val="22"/>
        </w:rPr>
        <w:t xml:space="preserve"> &lt;</w:t>
      </w:r>
      <w:r w:rsidRPr="00E87244">
        <w:rPr>
          <w:sz w:val="22"/>
          <w:highlight w:val="yellow"/>
        </w:rPr>
        <w:t>amount</w:t>
      </w:r>
      <w:r>
        <w:rPr>
          <w:sz w:val="22"/>
        </w:rPr>
        <w:t>&gt;</w:t>
      </w:r>
      <w:r w:rsidRPr="00764A85" w:rsidDel="00041A83">
        <w:rPr>
          <w:sz w:val="22"/>
        </w:rPr>
        <w:t xml:space="preserve"> </w:t>
      </w:r>
      <w:r w:rsidRPr="00764A85">
        <w:rPr>
          <w:sz w:val="22"/>
        </w:rPr>
        <w:t>(subject to the provisions of Annex II)</w:t>
      </w:r>
      <w:r>
        <w:rPr>
          <w:sz w:val="22"/>
        </w:rPr>
        <w:t>.</w:t>
      </w:r>
    </w:p>
    <w:p w:rsidR="00FD4DB3" w:rsidRPr="0061088F" w:rsidRDefault="00FD4DB3" w:rsidP="0061088F">
      <w:pPr>
        <w:spacing w:before="120"/>
        <w:ind w:left="567"/>
        <w:jc w:val="both"/>
        <w:rPr>
          <w:b/>
          <w:sz w:val="22"/>
          <w:highlight w:val="yellow"/>
          <w:u w:val="single"/>
        </w:rPr>
      </w:pPr>
      <w:r w:rsidRPr="00764A85">
        <w:rPr>
          <w:b/>
          <w:sz w:val="22"/>
          <w:highlight w:val="yellow"/>
          <w:u w:val="single"/>
        </w:rPr>
        <w:t xml:space="preserve">[Option </w:t>
      </w:r>
      <w:r w:rsidR="00AF5E48">
        <w:rPr>
          <w:b/>
          <w:sz w:val="22"/>
          <w:highlight w:val="yellow"/>
          <w:u w:val="single"/>
        </w:rPr>
        <w:t>1 and 2</w:t>
      </w:r>
      <w:r w:rsidRPr="00764A85">
        <w:rPr>
          <w:b/>
          <w:sz w:val="22"/>
          <w:highlight w:val="yellow"/>
          <w:u w:val="single"/>
        </w:rPr>
        <w:t>]</w:t>
      </w:r>
    </w:p>
    <w:p w:rsidR="00051454" w:rsidRPr="00764A85" w:rsidRDefault="00AB7BC6" w:rsidP="00532286">
      <w:pPr>
        <w:pStyle w:val="Text1"/>
        <w:spacing w:before="120" w:after="0"/>
        <w:ind w:left="567"/>
        <w:jc w:val="both"/>
        <w:rPr>
          <w:sz w:val="22"/>
        </w:rPr>
      </w:pPr>
      <w:r w:rsidRPr="00764A85">
        <w:rPr>
          <w:sz w:val="22"/>
        </w:rPr>
        <w:t>Balance of the final amount of the grant:</w:t>
      </w:r>
    </w:p>
    <w:p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23FBD">
        <w:rPr>
          <w:sz w:val="22"/>
        </w:rPr>
        <w:t xml:space="preserve"> </w:t>
      </w:r>
      <w:r w:rsidR="00041A83" w:rsidRPr="009B1E9E">
        <w:rPr>
          <w:sz w:val="22"/>
        </w:rPr>
        <w:t>EUR</w:t>
      </w:r>
      <w:r w:rsidR="00041A83" w:rsidRPr="00F13D45">
        <w:rPr>
          <w:sz w:val="22"/>
        </w:rPr>
        <w:t xml:space="preserve"> </w:t>
      </w:r>
      <w:r w:rsidR="00041A83">
        <w:rPr>
          <w:sz w:val="22"/>
        </w:rPr>
        <w:t>&lt;</w:t>
      </w:r>
      <w:r w:rsidR="00041A83" w:rsidRPr="00E87244">
        <w:rPr>
          <w:sz w:val="22"/>
          <w:highlight w:val="yellow"/>
        </w:rPr>
        <w:t>amount</w:t>
      </w:r>
      <w:r w:rsidR="00130237">
        <w:rPr>
          <w:sz w:val="22"/>
        </w:rPr>
        <w:t>&gt;</w:t>
      </w:r>
    </w:p>
    <w:p w:rsidR="003D55B9" w:rsidRPr="00A85984" w:rsidRDefault="00D76F3A" w:rsidP="00C76959">
      <w:pPr>
        <w:spacing w:before="120"/>
        <w:ind w:left="567" w:hanging="567"/>
        <w:jc w:val="both"/>
        <w:rPr>
          <w:sz w:val="22"/>
          <w:highlight w:val="lightGray"/>
        </w:rPr>
      </w:pPr>
      <w:r w:rsidRPr="00764A85">
        <w:rPr>
          <w:sz w:val="22"/>
        </w:rPr>
        <w:t>4.</w:t>
      </w:r>
      <w:r w:rsidR="009B1E9E">
        <w:rPr>
          <w:sz w:val="22"/>
        </w:rPr>
        <w:t>2</w:t>
      </w:r>
      <w:r w:rsidRPr="00764A85">
        <w:rPr>
          <w:sz w:val="22"/>
        </w:rPr>
        <w:tab/>
      </w:r>
      <w:r w:rsidR="009B1E9E" w:rsidRPr="00003133">
        <w:rPr>
          <w:sz w:val="22"/>
          <w:shd w:val="clear" w:color="auto" w:fill="BFBFBF"/>
        </w:rPr>
        <w:t>[</w:t>
      </w:r>
      <w:r w:rsidR="00564181" w:rsidRPr="00A85984">
        <w:rPr>
          <w:sz w:val="22"/>
          <w:highlight w:val="lightGray"/>
        </w:rPr>
        <w:t>T</w:t>
      </w:r>
      <w:r w:rsidR="00187D68" w:rsidRPr="00A85984">
        <w:rPr>
          <w:sz w:val="22"/>
          <w:highlight w:val="lightGray"/>
        </w:rPr>
        <w:t>he f</w:t>
      </w:r>
      <w:r w:rsidRPr="00A85984">
        <w:rPr>
          <w:sz w:val="22"/>
          <w:highlight w:val="lightGray"/>
        </w:rPr>
        <w:t>irst instalment of pre-financing</w:t>
      </w:r>
      <w:r w:rsidR="00F9654B" w:rsidRPr="00A85984">
        <w:rPr>
          <w:sz w:val="22"/>
          <w:highlight w:val="lightGray"/>
        </w:rPr>
        <w:t xml:space="preserve"> </w:t>
      </w:r>
      <w:r w:rsidR="00C60A6D" w:rsidRPr="00A85984">
        <w:rPr>
          <w:sz w:val="22"/>
          <w:highlight w:val="lightGray"/>
        </w:rPr>
        <w:t xml:space="preserve">shall </w:t>
      </w:r>
      <w:r w:rsidRPr="00A85984">
        <w:rPr>
          <w:sz w:val="22"/>
          <w:highlight w:val="lightGray"/>
        </w:rPr>
        <w:t xml:space="preserve">be </w:t>
      </w:r>
      <w:r w:rsidR="002C788E" w:rsidRPr="00A85984">
        <w:rPr>
          <w:sz w:val="22"/>
          <w:highlight w:val="lightGray"/>
        </w:rPr>
        <w:t xml:space="preserve">accompanied by </w:t>
      </w:r>
      <w:r w:rsidR="000B33DA" w:rsidRPr="00A85984">
        <w:rPr>
          <w:sz w:val="22"/>
          <w:highlight w:val="lightGray"/>
        </w:rPr>
        <w:t>a</w:t>
      </w:r>
      <w:r w:rsidR="002C788E" w:rsidRPr="00A85984">
        <w:rPr>
          <w:sz w:val="22"/>
          <w:highlight w:val="lightGray"/>
        </w:rPr>
        <w:t xml:space="preserve"> </w:t>
      </w:r>
      <w:r w:rsidR="0016570F" w:rsidRPr="00A85984">
        <w:rPr>
          <w:sz w:val="22"/>
          <w:highlight w:val="lightGray"/>
        </w:rPr>
        <w:t>f</w:t>
      </w:r>
      <w:r w:rsidR="002C788E" w:rsidRPr="00A85984">
        <w:rPr>
          <w:sz w:val="22"/>
          <w:highlight w:val="lightGray"/>
        </w:rPr>
        <w:t>inancial guarantee</w:t>
      </w:r>
      <w:r w:rsidR="00E611EF" w:rsidRPr="00A85984">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A85984">
        <w:rPr>
          <w:sz w:val="22"/>
          <w:highlight w:val="lightGray"/>
        </w:rPr>
        <w:t>and complying with the requirements of</w:t>
      </w:r>
      <w:r w:rsidR="002C788E" w:rsidRPr="00A85984">
        <w:rPr>
          <w:sz w:val="22"/>
          <w:highlight w:val="lightGray"/>
        </w:rPr>
        <w:t xml:space="preserve"> </w:t>
      </w:r>
      <w:r w:rsidR="00C60A6D" w:rsidRPr="00A85984">
        <w:rPr>
          <w:sz w:val="22"/>
          <w:highlight w:val="lightGray"/>
        </w:rPr>
        <w:t xml:space="preserve">Article </w:t>
      </w:r>
      <w:r w:rsidR="00DC1882" w:rsidRPr="00A85984">
        <w:rPr>
          <w:sz w:val="22"/>
          <w:highlight w:val="lightGray"/>
        </w:rPr>
        <w:t>1</w:t>
      </w:r>
      <w:r w:rsidR="00E4647C" w:rsidRPr="00A85984">
        <w:rPr>
          <w:sz w:val="22"/>
          <w:highlight w:val="lightGray"/>
        </w:rPr>
        <w:t>5</w:t>
      </w:r>
      <w:r w:rsidR="00DC1882" w:rsidRPr="00A85984">
        <w:rPr>
          <w:sz w:val="22"/>
          <w:highlight w:val="lightGray"/>
        </w:rPr>
        <w:t>.8</w:t>
      </w:r>
      <w:r w:rsidR="002C788E" w:rsidRPr="00A85984">
        <w:rPr>
          <w:sz w:val="22"/>
          <w:highlight w:val="lightGray"/>
        </w:rPr>
        <w:t xml:space="preserve"> of </w:t>
      </w:r>
      <w:r w:rsidR="00E4647C" w:rsidRPr="00A85984">
        <w:rPr>
          <w:sz w:val="22"/>
          <w:highlight w:val="lightGray"/>
        </w:rPr>
        <w:t>Annex II</w:t>
      </w:r>
      <w:r w:rsidR="0063259A" w:rsidRPr="00A85984">
        <w:rPr>
          <w:sz w:val="22"/>
          <w:highlight w:val="lightGray"/>
        </w:rPr>
        <w:t>.</w:t>
      </w:r>
      <w:r w:rsidR="009B1E9E" w:rsidRPr="00003133">
        <w:rPr>
          <w:sz w:val="22"/>
          <w:shd w:val="clear" w:color="auto" w:fill="BFBFBF"/>
        </w:rPr>
        <w:t>]</w:t>
      </w:r>
    </w:p>
    <w:p w:rsidR="00AC4A5B" w:rsidRPr="00AC4A5B" w:rsidRDefault="009B1E9E" w:rsidP="00AC4A5B">
      <w:pPr>
        <w:pStyle w:val="Text1"/>
        <w:tabs>
          <w:tab w:val="left" w:pos="567"/>
        </w:tabs>
        <w:spacing w:before="120"/>
        <w:ind w:left="567" w:hanging="567"/>
        <w:jc w:val="both"/>
        <w:rPr>
          <w:sz w:val="22"/>
        </w:rPr>
      </w:pPr>
      <w:r>
        <w:rPr>
          <w:sz w:val="22"/>
        </w:rPr>
        <w:t>4.3</w:t>
      </w:r>
      <w:r w:rsidR="00AC4A5B" w:rsidRPr="00AC4A5B">
        <w:rPr>
          <w:sz w:val="22"/>
        </w:rPr>
        <w:tab/>
        <w:t>An electronic system will be used by the</w:t>
      </w:r>
      <w:r w:rsidR="00896542">
        <w:rPr>
          <w:sz w:val="22"/>
        </w:rPr>
        <w:t xml:space="preserve"> contracting authority and the b</w:t>
      </w:r>
      <w:r w:rsidR="00AC4A5B" w:rsidRPr="00AC4A5B">
        <w:rPr>
          <w:sz w:val="22"/>
        </w:rPr>
        <w:t>eneficiary(ies) for all stages of implementation including, inter alia, management of the contract (amen</w:t>
      </w:r>
      <w:r w:rsidR="002F629D">
        <w:rPr>
          <w:sz w:val="22"/>
        </w:rPr>
        <w:t>dments and notifications</w:t>
      </w:r>
      <w:r w:rsidR="00AC4A5B" w:rsidRPr="00AC4A5B">
        <w:rPr>
          <w:sz w:val="22"/>
        </w:rPr>
        <w:t xml:space="preserve">), reporting (including reporting </w:t>
      </w:r>
      <w:r w:rsidR="00896542">
        <w:rPr>
          <w:sz w:val="22"/>
        </w:rPr>
        <w:t>on results) and payments.  The b</w:t>
      </w:r>
      <w:r w:rsidR="00AC4A5B"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rsidR="00AC4A5B" w:rsidRPr="00764A85"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rsidR="009B1E9E" w:rsidRPr="002F059A" w:rsidRDefault="009B1E9E" w:rsidP="009B1E9E">
      <w:pPr>
        <w:spacing w:before="120"/>
        <w:ind w:left="567"/>
        <w:jc w:val="both"/>
        <w:rPr>
          <w:sz w:val="22"/>
        </w:rPr>
      </w:pPr>
      <w:r w:rsidRPr="002F059A">
        <w:rPr>
          <w:sz w:val="22"/>
        </w:rPr>
        <w:t>Ministry of Finance</w:t>
      </w:r>
    </w:p>
    <w:p w:rsidR="009B1E9E" w:rsidRPr="002F059A" w:rsidRDefault="009B1E9E" w:rsidP="009B1E9E">
      <w:pPr>
        <w:spacing w:before="120"/>
        <w:ind w:left="567"/>
        <w:jc w:val="both"/>
        <w:rPr>
          <w:sz w:val="22"/>
        </w:rPr>
      </w:pPr>
      <w:r w:rsidRPr="002F059A">
        <w:rPr>
          <w:sz w:val="22"/>
        </w:rPr>
        <w:t>The Directorate for Finance and Contracting of the EU Assistance Funds,</w:t>
      </w:r>
    </w:p>
    <w:p w:rsidR="009B1E9E" w:rsidRPr="002F059A" w:rsidRDefault="009B1E9E" w:rsidP="009B1E9E">
      <w:pPr>
        <w:spacing w:before="120"/>
        <w:ind w:left="567"/>
        <w:jc w:val="both"/>
        <w:rPr>
          <w:sz w:val="22"/>
        </w:rPr>
      </w:pPr>
      <w:r w:rsidRPr="002F059A">
        <w:rPr>
          <w:sz w:val="22"/>
        </w:rPr>
        <w:t>Stanka Dragojevića 2,</w:t>
      </w:r>
    </w:p>
    <w:p w:rsidR="009B1E9E" w:rsidRPr="002F059A" w:rsidRDefault="009B1E9E" w:rsidP="009B1E9E">
      <w:pPr>
        <w:spacing w:before="120"/>
        <w:ind w:left="567"/>
        <w:jc w:val="both"/>
        <w:rPr>
          <w:sz w:val="22"/>
        </w:rPr>
      </w:pPr>
      <w:r w:rsidRPr="002F059A">
        <w:rPr>
          <w:sz w:val="22"/>
        </w:rPr>
        <w:t>81 000 Podgorica, Montenegro</w:t>
      </w:r>
    </w:p>
    <w:p w:rsidR="009B1E9E" w:rsidRDefault="009B1E9E" w:rsidP="009B1E9E">
      <w:pPr>
        <w:spacing w:before="120"/>
        <w:ind w:left="567"/>
        <w:jc w:val="both"/>
        <w:rPr>
          <w:sz w:val="22"/>
        </w:rPr>
      </w:pPr>
      <w:r w:rsidRPr="002F059A">
        <w:rPr>
          <w:sz w:val="22"/>
        </w:rPr>
        <w:t>Please note that opening hours of the Ministry of Finance</w:t>
      </w:r>
      <w:r w:rsidR="00AF5E48">
        <w:rPr>
          <w:sz w:val="22"/>
        </w:rPr>
        <w:t xml:space="preserve"> </w:t>
      </w:r>
      <w:r w:rsidRPr="002F059A">
        <w:rPr>
          <w:sz w:val="22"/>
        </w:rPr>
        <w:t>– The Directorate for Finance and Contracting of the EU Assistance Funds (CFCU) is 7:00-15:00</w:t>
      </w:r>
      <w:r>
        <w:rPr>
          <w:sz w:val="22"/>
        </w:rPr>
        <w:t>h</w:t>
      </w:r>
      <w:r w:rsidRPr="002F059A">
        <w:rPr>
          <w:sz w:val="22"/>
        </w:rPr>
        <w:t>.</w:t>
      </w:r>
    </w:p>
    <w:p w:rsidR="009B1E9E" w:rsidRPr="00141F49" w:rsidRDefault="009B1E9E" w:rsidP="009B1E9E">
      <w:pPr>
        <w:spacing w:before="120"/>
        <w:ind w:left="567"/>
        <w:jc w:val="both"/>
        <w:rPr>
          <w:sz w:val="22"/>
        </w:rPr>
      </w:pPr>
      <w:r w:rsidRPr="002F059A">
        <w:rPr>
          <w:sz w:val="22"/>
        </w:rPr>
        <w:t>A copy of the reports referred to in Article 4.1 shall be sent to the concerned service of the European Commission, at the following address: Delegation of the European Union to Montenegro, Vuka Karadžića 12, 81000 Podgorica, Montenegro.</w:t>
      </w:r>
    </w:p>
    <w:p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rsidR="00886713" w:rsidRPr="00764A85"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rsidR="00757FB8" w:rsidRPr="00764A85" w:rsidRDefault="00E828AA" w:rsidP="00D46EF8">
      <w:pPr>
        <w:spacing w:before="120"/>
        <w:ind w:left="567" w:hanging="567"/>
        <w:jc w:val="both"/>
        <w:rPr>
          <w:sz w:val="22"/>
        </w:rPr>
      </w:pPr>
      <w:r w:rsidRPr="00764A85">
        <w:rPr>
          <w:sz w:val="22"/>
        </w:rPr>
        <w:t>[</w:t>
      </w:r>
      <w:r w:rsidR="00757FB8" w:rsidRPr="00A85984">
        <w:rPr>
          <w:sz w:val="22"/>
          <w:highlight w:val="lightGray"/>
        </w:rPr>
        <w:t>5.2</w:t>
      </w:r>
      <w:r w:rsidR="00757FB8" w:rsidRPr="00A85984">
        <w:rPr>
          <w:sz w:val="22"/>
          <w:highlight w:val="lightGray"/>
        </w:rPr>
        <w:tab/>
        <w:t xml:space="preserve">The </w:t>
      </w:r>
      <w:r w:rsidR="00886713" w:rsidRPr="00A85984">
        <w:rPr>
          <w:sz w:val="22"/>
          <w:highlight w:val="lightGray"/>
        </w:rPr>
        <w:t xml:space="preserve">expenditure </w:t>
      </w:r>
      <w:r w:rsidR="00757FB8" w:rsidRPr="00A85984">
        <w:rPr>
          <w:sz w:val="22"/>
          <w:highlight w:val="lightGray"/>
        </w:rPr>
        <w:t xml:space="preserve">verification(s) referred to in Article </w:t>
      </w:r>
      <w:r w:rsidR="00A028CE" w:rsidRPr="00A85984">
        <w:rPr>
          <w:sz w:val="22"/>
          <w:highlight w:val="lightGray"/>
        </w:rPr>
        <w:t>15</w:t>
      </w:r>
      <w:r w:rsidR="00886713" w:rsidRPr="00A85984">
        <w:rPr>
          <w:sz w:val="22"/>
          <w:highlight w:val="lightGray"/>
        </w:rPr>
        <w:t>.7</w:t>
      </w:r>
      <w:r w:rsidR="00757FB8" w:rsidRPr="00A85984">
        <w:rPr>
          <w:sz w:val="22"/>
          <w:highlight w:val="lightGray"/>
        </w:rPr>
        <w:t xml:space="preserve"> of Annex II will be carried out by </w:t>
      </w:r>
      <w:r w:rsidR="00757FB8" w:rsidRPr="00764A85">
        <w:rPr>
          <w:sz w:val="22"/>
          <w:highlight w:val="yellow"/>
        </w:rPr>
        <w:t xml:space="preserve">&lt; </w:t>
      </w:r>
      <w:r w:rsidR="00757FB8" w:rsidRPr="00F13D45">
        <w:rPr>
          <w:sz w:val="22"/>
          <w:highlight w:val="yellow"/>
        </w:rPr>
        <w:t>name, address, telephone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rsidR="00276C2A" w:rsidRDefault="00C2718F" w:rsidP="00532286">
      <w:pPr>
        <w:spacing w:before="120"/>
        <w:ind w:left="1843" w:hanging="1276"/>
        <w:jc w:val="both"/>
        <w:rPr>
          <w:sz w:val="22"/>
        </w:rPr>
      </w:pPr>
      <w:r w:rsidRPr="00764A85">
        <w:rPr>
          <w:sz w:val="22"/>
        </w:rPr>
        <w:lastRenderedPageBreak/>
        <w:t xml:space="preserve">Annex III: </w:t>
      </w:r>
      <w:r w:rsidRPr="00764A85">
        <w:rPr>
          <w:sz w:val="22"/>
        </w:rPr>
        <w:tab/>
      </w:r>
      <w:r w:rsidRPr="00276C2A">
        <w:rPr>
          <w:sz w:val="22"/>
        </w:rPr>
        <w:t xml:space="preserve">Budget for the </w:t>
      </w:r>
      <w:r w:rsidR="00BF0980" w:rsidRPr="00276C2A">
        <w:rPr>
          <w:sz w:val="22"/>
        </w:rPr>
        <w:t>a</w:t>
      </w:r>
      <w:r w:rsidRPr="00276C2A">
        <w:rPr>
          <w:sz w:val="22"/>
        </w:rPr>
        <w:t>ction</w:t>
      </w:r>
      <w:r w:rsidR="00121C26" w:rsidRPr="00276C2A">
        <w:rPr>
          <w:sz w:val="22"/>
        </w:rPr>
        <w:t xml:space="preserve"> (</w:t>
      </w:r>
      <w:r w:rsidR="00532286" w:rsidRPr="00276C2A">
        <w:rPr>
          <w:sz w:val="22"/>
        </w:rPr>
        <w:t>works</w:t>
      </w:r>
      <w:r w:rsidR="00121C26" w:rsidRPr="00276C2A">
        <w:rPr>
          <w:sz w:val="22"/>
        </w:rPr>
        <w:t>heets 1</w:t>
      </w:r>
      <w:r w:rsidR="003F7402" w:rsidRPr="00276C2A">
        <w:rPr>
          <w:sz w:val="22"/>
        </w:rPr>
        <w:t>,</w:t>
      </w:r>
      <w:r w:rsidR="00410B99" w:rsidRPr="00276C2A">
        <w:rPr>
          <w:sz w:val="22"/>
        </w:rPr>
        <w:t xml:space="preserve"> </w:t>
      </w:r>
      <w:r w:rsidR="003F7402" w:rsidRPr="00276C2A">
        <w:rPr>
          <w:sz w:val="22"/>
        </w:rPr>
        <w:t>2</w:t>
      </w:r>
      <w:r w:rsidR="00121C26" w:rsidRPr="00276C2A">
        <w:rPr>
          <w:sz w:val="22"/>
        </w:rPr>
        <w:t xml:space="preserve"> and 3)</w:t>
      </w:r>
      <w:r w:rsidR="00141F49">
        <w:rPr>
          <w:sz w:val="22"/>
        </w:rPr>
        <w:t xml:space="preserve"> </w:t>
      </w:r>
    </w:p>
    <w:p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rsidR="00276C2A" w:rsidRDefault="00C2718F" w:rsidP="00532286">
      <w:pPr>
        <w:spacing w:before="120"/>
        <w:ind w:left="1843" w:hanging="1276"/>
        <w:jc w:val="both"/>
        <w:rPr>
          <w:sz w:val="22"/>
        </w:rPr>
      </w:pPr>
      <w:r w:rsidRPr="00764A85">
        <w:rPr>
          <w:sz w:val="22"/>
        </w:rPr>
        <w:t>Annex VI:</w:t>
      </w:r>
      <w:r w:rsidRPr="00764A85">
        <w:rPr>
          <w:sz w:val="22"/>
        </w:rPr>
        <w:tab/>
      </w:r>
      <w:r w:rsidRPr="00276C2A">
        <w:rPr>
          <w:sz w:val="22"/>
        </w:rPr>
        <w:t xml:space="preserve">Model </w:t>
      </w:r>
      <w:r w:rsidR="00A910C9" w:rsidRPr="00276C2A">
        <w:rPr>
          <w:sz w:val="22"/>
        </w:rPr>
        <w:t>narrative and financial report</w:t>
      </w:r>
    </w:p>
    <w:p w:rsidR="00A910C9" w:rsidRPr="00A85984" w:rsidRDefault="0080254C" w:rsidP="00532286">
      <w:pPr>
        <w:spacing w:before="120"/>
        <w:ind w:left="1843" w:hanging="1276"/>
        <w:jc w:val="both"/>
        <w:rPr>
          <w:sz w:val="22"/>
          <w:highlight w:val="lightGray"/>
        </w:rPr>
      </w:pPr>
      <w:r w:rsidRPr="00A85984">
        <w:rPr>
          <w:sz w:val="22"/>
          <w:highlight w:val="lightGray"/>
        </w:rPr>
        <w:t>[</w:t>
      </w:r>
      <w:r w:rsidR="00A910C9" w:rsidRPr="00A85984">
        <w:rPr>
          <w:sz w:val="22"/>
          <w:highlight w:val="lightGray"/>
        </w:rPr>
        <w:t>Annex VII:</w:t>
      </w:r>
      <w:r w:rsidR="00A910C9" w:rsidRPr="00A85984">
        <w:rPr>
          <w:sz w:val="22"/>
          <w:highlight w:val="lightGray"/>
        </w:rPr>
        <w:tab/>
      </w:r>
      <w:r w:rsidR="003221A6" w:rsidRPr="00A85984">
        <w:rPr>
          <w:sz w:val="22"/>
          <w:highlight w:val="lightGray"/>
        </w:rPr>
        <w:t>T</w:t>
      </w:r>
      <w:r w:rsidR="00DF2103" w:rsidRPr="00A85984">
        <w:rPr>
          <w:sz w:val="22"/>
          <w:highlight w:val="lightGray"/>
        </w:rPr>
        <w:t xml:space="preserve">erms of reference </w:t>
      </w:r>
      <w:r w:rsidR="00A910C9" w:rsidRPr="00A85984">
        <w:rPr>
          <w:sz w:val="22"/>
          <w:highlight w:val="lightGray"/>
        </w:rPr>
        <w:t>for an expenditure verification</w:t>
      </w:r>
      <w:r w:rsidR="00DF2103" w:rsidRPr="00A85984">
        <w:rPr>
          <w:sz w:val="22"/>
          <w:highlight w:val="lightGray"/>
        </w:rPr>
        <w:t xml:space="preserve"> of a </w:t>
      </w:r>
      <w:r w:rsidR="00BC03E0" w:rsidRPr="00A85984">
        <w:rPr>
          <w:sz w:val="22"/>
          <w:highlight w:val="lightGray"/>
        </w:rPr>
        <w:t xml:space="preserve">European </w:t>
      </w:r>
      <w:r w:rsidR="00903BAD" w:rsidRPr="00A85984">
        <w:rPr>
          <w:sz w:val="22"/>
          <w:highlight w:val="lightGray"/>
        </w:rPr>
        <w:t>U</w:t>
      </w:r>
      <w:r w:rsidR="003221A6" w:rsidRPr="00A85984">
        <w:rPr>
          <w:sz w:val="22"/>
          <w:highlight w:val="lightGray"/>
        </w:rPr>
        <w:t>nion</w:t>
      </w:r>
      <w:r w:rsidR="00903BAD" w:rsidRPr="00A85984">
        <w:rPr>
          <w:sz w:val="22"/>
          <w:highlight w:val="lightGray"/>
        </w:rPr>
        <w:t xml:space="preserve"> </w:t>
      </w:r>
      <w:r w:rsidR="00DF2103" w:rsidRPr="00A85984">
        <w:rPr>
          <w:sz w:val="22"/>
          <w:highlight w:val="lightGray"/>
        </w:rPr>
        <w:t>financed grant contract for external actions</w:t>
      </w:r>
      <w:r w:rsidR="003221A6" w:rsidRPr="00A85984">
        <w:rPr>
          <w:sz w:val="22"/>
          <w:highlight w:val="lightGray"/>
        </w:rPr>
        <w:t xml:space="preserve"> and </w:t>
      </w:r>
      <w:r w:rsidR="00F80252" w:rsidRPr="00A85984">
        <w:rPr>
          <w:sz w:val="22"/>
          <w:highlight w:val="lightGray"/>
        </w:rPr>
        <w:t>m</w:t>
      </w:r>
      <w:r w:rsidR="003221A6" w:rsidRPr="00A85984">
        <w:rPr>
          <w:sz w:val="22"/>
          <w:highlight w:val="lightGray"/>
        </w:rPr>
        <w:t>odel report of factual findings</w:t>
      </w:r>
    </w:p>
    <w:p w:rsidR="00C2718F" w:rsidRPr="00A85984" w:rsidRDefault="00C2718F" w:rsidP="00532286">
      <w:pPr>
        <w:spacing w:before="120"/>
        <w:ind w:left="1843" w:hanging="1276"/>
        <w:jc w:val="both"/>
        <w:rPr>
          <w:sz w:val="22"/>
          <w:highlight w:val="lightGray"/>
        </w:rPr>
      </w:pPr>
      <w:r w:rsidRPr="00A85984">
        <w:rPr>
          <w:sz w:val="22"/>
          <w:highlight w:val="lightGray"/>
        </w:rPr>
        <w:t>Annex VII</w:t>
      </w:r>
      <w:r w:rsidR="00A910C9" w:rsidRPr="00A85984">
        <w:rPr>
          <w:sz w:val="22"/>
          <w:highlight w:val="lightGray"/>
        </w:rPr>
        <w:t>I</w:t>
      </w:r>
      <w:r w:rsidRPr="00A85984">
        <w:rPr>
          <w:sz w:val="22"/>
          <w:highlight w:val="lightGray"/>
        </w:rPr>
        <w:t>:</w:t>
      </w:r>
      <w:r w:rsidRPr="00A85984">
        <w:rPr>
          <w:sz w:val="22"/>
          <w:highlight w:val="lightGray"/>
        </w:rPr>
        <w:tab/>
        <w:t>Model financial guarantee</w:t>
      </w:r>
      <w:r w:rsidR="003518AE" w:rsidRPr="00A85984">
        <w:rPr>
          <w:sz w:val="22"/>
          <w:szCs w:val="22"/>
          <w:highlight w:val="lightGray"/>
          <w:lang w:eastAsia="en-GB"/>
        </w:rPr>
        <w:t>]</w:t>
      </w:r>
    </w:p>
    <w:p w:rsidR="0080254C" w:rsidRPr="003518AE" w:rsidRDefault="002A3E52" w:rsidP="0080254C">
      <w:pPr>
        <w:spacing w:before="240"/>
        <w:ind w:left="567"/>
        <w:jc w:val="both"/>
        <w:rPr>
          <w:sz w:val="22"/>
        </w:rPr>
      </w:pPr>
      <w:r w:rsidRPr="003518AE">
        <w:rPr>
          <w:sz w:val="22"/>
        </w:rPr>
        <w:t>Annex IX: Standard template for transfer of asset ownership</w:t>
      </w:r>
    </w:p>
    <w:p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rsidR="001A1117" w:rsidRPr="00A85984" w:rsidRDefault="00C2718F" w:rsidP="00764A85">
      <w:pPr>
        <w:spacing w:before="240"/>
        <w:jc w:val="both"/>
        <w:rPr>
          <w:b/>
          <w:highlight w:val="lightGray"/>
        </w:rPr>
      </w:pPr>
      <w:r w:rsidRPr="00A85984">
        <w:rPr>
          <w:b/>
          <w:highlight w:val="lightGray"/>
        </w:rPr>
        <w:t xml:space="preserve">Article 7 </w:t>
      </w:r>
      <w:r w:rsidR="00B479BA" w:rsidRPr="00A85984">
        <w:rPr>
          <w:b/>
          <w:highlight w:val="lightGray"/>
        </w:rPr>
        <w:t>—</w:t>
      </w:r>
      <w:r w:rsidRPr="00A85984">
        <w:rPr>
          <w:b/>
          <w:highlight w:val="lightGray"/>
        </w:rPr>
        <w:t xml:space="preserve"> Other specific conditions applying to the </w:t>
      </w:r>
      <w:r w:rsidR="00BF0980" w:rsidRPr="00A85984">
        <w:rPr>
          <w:b/>
          <w:highlight w:val="lightGray"/>
        </w:rPr>
        <w:t>a</w:t>
      </w:r>
      <w:r w:rsidRPr="00A85984">
        <w:rPr>
          <w:b/>
          <w:highlight w:val="lightGray"/>
        </w:rPr>
        <w:t>ction</w:t>
      </w:r>
    </w:p>
    <w:p w:rsidR="00C2718F" w:rsidRPr="00A85984" w:rsidRDefault="00C2718F" w:rsidP="00532286">
      <w:pPr>
        <w:spacing w:before="120"/>
        <w:ind w:left="567" w:hanging="567"/>
        <w:jc w:val="both"/>
        <w:rPr>
          <w:sz w:val="22"/>
          <w:highlight w:val="lightGray"/>
        </w:rPr>
      </w:pPr>
      <w:r w:rsidRPr="00A85984">
        <w:rPr>
          <w:sz w:val="22"/>
          <w:highlight w:val="lightGray"/>
        </w:rPr>
        <w:t>7.1</w:t>
      </w:r>
      <w:r w:rsidRPr="00A85984">
        <w:rPr>
          <w:sz w:val="22"/>
          <w:highlight w:val="lightGray"/>
        </w:rPr>
        <w:tab/>
        <w:t xml:space="preserve">The </w:t>
      </w:r>
      <w:r w:rsidR="00BF0980" w:rsidRPr="00A85984">
        <w:rPr>
          <w:sz w:val="22"/>
          <w:highlight w:val="lightGray"/>
        </w:rPr>
        <w:t>g</w:t>
      </w:r>
      <w:r w:rsidRPr="00A85984">
        <w:rPr>
          <w:sz w:val="22"/>
          <w:highlight w:val="lightGray"/>
        </w:rPr>
        <w:t xml:space="preserve">eneral </w:t>
      </w:r>
      <w:r w:rsidR="00BF0980" w:rsidRPr="00A85984">
        <w:rPr>
          <w:sz w:val="22"/>
          <w:highlight w:val="lightGray"/>
        </w:rPr>
        <w:t>c</w:t>
      </w:r>
      <w:r w:rsidRPr="00A85984">
        <w:rPr>
          <w:sz w:val="22"/>
          <w:highlight w:val="lightGray"/>
        </w:rPr>
        <w:t xml:space="preserve">onditions </w:t>
      </w:r>
      <w:r w:rsidR="007B51F1" w:rsidRPr="00A85984">
        <w:rPr>
          <w:sz w:val="22"/>
          <w:highlight w:val="lightGray"/>
        </w:rPr>
        <w:t xml:space="preserve">in Annex II </w:t>
      </w:r>
      <w:r w:rsidRPr="00A85984">
        <w:rPr>
          <w:sz w:val="22"/>
          <w:highlight w:val="lightGray"/>
        </w:rPr>
        <w:t>are supplemented by the following:</w:t>
      </w:r>
    </w:p>
    <w:p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rsidR="0056522D" w:rsidRPr="00A85984" w:rsidRDefault="00D46EF8" w:rsidP="00D46EF8">
      <w:pPr>
        <w:spacing w:before="120"/>
        <w:ind w:left="567" w:hanging="567"/>
        <w:jc w:val="both"/>
        <w:rPr>
          <w:sz w:val="22"/>
          <w:highlight w:val="lightGray"/>
        </w:rPr>
      </w:pPr>
      <w:r w:rsidRPr="00A85984">
        <w:rPr>
          <w:sz w:val="22"/>
          <w:highlight w:val="lightGray"/>
        </w:rPr>
        <w:t>[7.1.</w:t>
      </w:r>
      <w:r w:rsidR="00276C2A" w:rsidRPr="00A85984">
        <w:rPr>
          <w:sz w:val="22"/>
          <w:highlight w:val="lightGray"/>
        </w:rPr>
        <w:t>1</w:t>
      </w:r>
      <w:r w:rsidRPr="00A85984">
        <w:rPr>
          <w:sz w:val="22"/>
          <w:highlight w:val="lightGray"/>
        </w:rPr>
        <w:tab/>
      </w:r>
      <w:r w:rsidR="0056522D" w:rsidRPr="00A85984">
        <w:rPr>
          <w:sz w:val="22"/>
          <w:highlight w:val="lightGray"/>
        </w:rPr>
        <w:t>For the purpose of this agreement, the following legal entities are considered as affiliated entities:</w:t>
      </w:r>
    </w:p>
    <w:p w:rsidR="0056522D" w:rsidRPr="00A85984" w:rsidRDefault="0056522D" w:rsidP="00D46EF8">
      <w:pPr>
        <w:spacing w:before="120"/>
        <w:ind w:left="851"/>
        <w:jc w:val="both"/>
        <w:rPr>
          <w:sz w:val="22"/>
          <w:highlight w:val="lightGray"/>
        </w:rPr>
      </w:pPr>
      <w:r w:rsidRPr="00A85984">
        <w:rPr>
          <w:sz w:val="22"/>
          <w:highlight w:val="lightGray"/>
        </w:rPr>
        <w:t xml:space="preserve">- </w:t>
      </w:r>
      <w:r w:rsidRPr="00764A85">
        <w:rPr>
          <w:sz w:val="22"/>
          <w:highlight w:val="yellow"/>
        </w:rPr>
        <w:t xml:space="preserve">&lt;name of the legal entity&gt;, </w:t>
      </w:r>
      <w:r w:rsidRPr="00A85984">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A85984">
        <w:rPr>
          <w:sz w:val="22"/>
          <w:highlight w:val="lightGray"/>
        </w:rPr>
        <w:t>;</w:t>
      </w:r>
    </w:p>
    <w:p w:rsidR="0056522D" w:rsidRPr="00A85984" w:rsidRDefault="0056522D" w:rsidP="00D46EF8">
      <w:pPr>
        <w:spacing w:before="120"/>
        <w:ind w:left="851"/>
        <w:jc w:val="both"/>
        <w:rPr>
          <w:sz w:val="22"/>
          <w:highlight w:val="lightGray"/>
        </w:rPr>
      </w:pPr>
      <w:r w:rsidRPr="00A85984">
        <w:rPr>
          <w:sz w:val="22"/>
          <w:highlight w:val="lightGray"/>
        </w:rPr>
        <w:t xml:space="preserve">-  </w:t>
      </w:r>
      <w:r w:rsidRPr="00764A85">
        <w:rPr>
          <w:sz w:val="22"/>
          <w:highlight w:val="yellow"/>
        </w:rPr>
        <w:t>&lt;name of the legal entity&gt;,</w:t>
      </w:r>
      <w:r w:rsidR="00707F09">
        <w:rPr>
          <w:sz w:val="22"/>
          <w:highlight w:val="yellow"/>
        </w:rPr>
        <w:t xml:space="preserve"> </w:t>
      </w:r>
      <w:r w:rsidRPr="00A85984">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A85984">
        <w:rPr>
          <w:sz w:val="22"/>
          <w:highlight w:val="lightGray"/>
        </w:rPr>
        <w:t>;</w:t>
      </w:r>
    </w:p>
    <w:p w:rsidR="00C46BA8" w:rsidRPr="00A85984" w:rsidRDefault="00237B31" w:rsidP="00276C2A">
      <w:pPr>
        <w:spacing w:before="240"/>
        <w:ind w:left="567"/>
        <w:jc w:val="both"/>
        <w:rPr>
          <w:sz w:val="22"/>
          <w:highlight w:val="lightGray"/>
        </w:rPr>
      </w:pPr>
      <w:r w:rsidRPr="00A85984">
        <w:rPr>
          <w:sz w:val="22"/>
          <w:highlight w:val="lightGray"/>
        </w:rPr>
        <w:t xml:space="preserve">Costs incurred by these affiliated entities may be accepted as eligible, provided the entities concerned abide by all the relevant rules applicable to the </w:t>
      </w:r>
      <w:r w:rsidR="003C0331" w:rsidRPr="00A85984">
        <w:rPr>
          <w:sz w:val="22"/>
          <w:highlight w:val="lightGray"/>
        </w:rPr>
        <w:t>b</w:t>
      </w:r>
      <w:r w:rsidRPr="00A85984">
        <w:rPr>
          <w:sz w:val="22"/>
          <w:highlight w:val="lightGray"/>
        </w:rPr>
        <w:t>eneficiary</w:t>
      </w:r>
      <w:r w:rsidR="00F74001" w:rsidRPr="00A85984">
        <w:rPr>
          <w:sz w:val="22"/>
          <w:highlight w:val="lightGray"/>
        </w:rPr>
        <w:t>(ies)</w:t>
      </w:r>
      <w:r w:rsidRPr="00A85984">
        <w:rPr>
          <w:sz w:val="22"/>
          <w:highlight w:val="lightGray"/>
        </w:rPr>
        <w:t xml:space="preserve"> under this </w:t>
      </w:r>
      <w:r w:rsidR="00BF0980" w:rsidRPr="00A85984">
        <w:rPr>
          <w:sz w:val="22"/>
          <w:highlight w:val="lightGray"/>
        </w:rPr>
        <w:t>c</w:t>
      </w:r>
      <w:r w:rsidRPr="00A85984">
        <w:rPr>
          <w:sz w:val="22"/>
          <w:highlight w:val="lightGray"/>
        </w:rPr>
        <w:t>ontract.</w:t>
      </w:r>
      <w:r w:rsidR="00276C2A" w:rsidRPr="00A85984">
        <w:rPr>
          <w:sz w:val="22"/>
          <w:szCs w:val="22"/>
          <w:highlight w:val="lightGray"/>
          <w:lang w:eastAsia="en-GB"/>
        </w:rPr>
        <w:t>]</w:t>
      </w:r>
    </w:p>
    <w:p w:rsidR="00C46BA8" w:rsidRPr="00276C2A" w:rsidRDefault="00276C2A" w:rsidP="0094748D">
      <w:pPr>
        <w:tabs>
          <w:tab w:val="left" w:pos="567"/>
        </w:tabs>
        <w:spacing w:before="120"/>
        <w:ind w:left="709" w:hanging="709"/>
        <w:jc w:val="both"/>
        <w:rPr>
          <w:sz w:val="22"/>
          <w:szCs w:val="22"/>
          <w:lang w:eastAsia="en-GB"/>
        </w:rPr>
      </w:pPr>
      <w:r w:rsidRPr="00276C2A">
        <w:rPr>
          <w:sz w:val="22"/>
        </w:rPr>
        <w:t>7.1.2</w:t>
      </w:r>
      <w:r>
        <w:rPr>
          <w:sz w:val="22"/>
        </w:rPr>
        <w:tab/>
      </w:r>
      <w:r w:rsidR="00C46BA8" w:rsidRPr="00276C2A">
        <w:rPr>
          <w:sz w:val="22"/>
        </w:rPr>
        <w:t xml:space="preserve">VAT/ taxes, duties and charges </w:t>
      </w:r>
      <w:r w:rsidR="002A2FD5" w:rsidRPr="00276C2A">
        <w:rPr>
          <w:sz w:val="22"/>
        </w:rPr>
        <w:t xml:space="preserve">are </w:t>
      </w:r>
      <w:r w:rsidRPr="00276C2A">
        <w:rPr>
          <w:sz w:val="22"/>
          <w:szCs w:val="22"/>
          <w:lang w:eastAsia="en-GB"/>
        </w:rPr>
        <w:t xml:space="preserve">not eligible </w:t>
      </w:r>
      <w:r w:rsidR="00C46BA8" w:rsidRPr="00276C2A">
        <w:rPr>
          <w:sz w:val="22"/>
          <w:szCs w:val="22"/>
          <w:lang w:eastAsia="en-GB"/>
        </w:rPr>
        <w:t xml:space="preserve">for the </w:t>
      </w:r>
      <w:r w:rsidRPr="00276C2A">
        <w:rPr>
          <w:sz w:val="22"/>
          <w:szCs w:val="22"/>
          <w:lang w:eastAsia="en-GB"/>
        </w:rPr>
        <w:t>as described in Annex I</w:t>
      </w:r>
      <w:r w:rsidR="00C46BA8" w:rsidRPr="00276C2A">
        <w:rPr>
          <w:sz w:val="22"/>
          <w:szCs w:val="22"/>
          <w:lang w:eastAsia="en-GB"/>
        </w:rPr>
        <w:t>.</w:t>
      </w:r>
    </w:p>
    <w:p w:rsidR="00FB44D9" w:rsidRPr="00A85984" w:rsidRDefault="00B122F2" w:rsidP="00276C2A">
      <w:pPr>
        <w:tabs>
          <w:tab w:val="left" w:pos="567"/>
        </w:tabs>
        <w:spacing w:before="120"/>
        <w:ind w:left="567" w:hanging="567"/>
        <w:jc w:val="both"/>
        <w:rPr>
          <w:sz w:val="22"/>
          <w:highlight w:val="lightGray"/>
        </w:rPr>
      </w:pPr>
      <w:r w:rsidRPr="0080254C">
        <w:rPr>
          <w:sz w:val="22"/>
        </w:rPr>
        <w:t>7.1.</w:t>
      </w:r>
      <w:r w:rsidR="00276C2A" w:rsidRPr="0080254C">
        <w:rPr>
          <w:sz w:val="22"/>
        </w:rPr>
        <w:t>3</w:t>
      </w:r>
      <w:r w:rsidRPr="0080254C">
        <w:rPr>
          <w:sz w:val="22"/>
        </w:rPr>
        <w:tab/>
        <w:t>Where</w:t>
      </w:r>
      <w:r w:rsidRPr="00276C2A">
        <w:rPr>
          <w:sz w:val="22"/>
        </w:rPr>
        <w:t xml:space="preserve"> the implementation of the </w:t>
      </w:r>
      <w:r w:rsidR="00BF0980" w:rsidRPr="00276C2A">
        <w:rPr>
          <w:sz w:val="22"/>
        </w:rPr>
        <w:t>a</w:t>
      </w:r>
      <w:r w:rsidRPr="00276C2A">
        <w:rPr>
          <w:sz w:val="22"/>
        </w:rPr>
        <w:t xml:space="preserve">ction requires the setting up or the use of </w:t>
      </w:r>
      <w:r w:rsidR="00B30165" w:rsidRPr="00276C2A">
        <w:rPr>
          <w:sz w:val="22"/>
        </w:rPr>
        <w:t xml:space="preserve">a </w:t>
      </w:r>
      <w:r w:rsidR="00DA2B80" w:rsidRPr="00276C2A">
        <w:rPr>
          <w:sz w:val="22"/>
        </w:rPr>
        <w:t>project</w:t>
      </w:r>
      <w:r w:rsidRPr="00276C2A">
        <w:rPr>
          <w:sz w:val="22"/>
        </w:rPr>
        <w:t xml:space="preserve"> office, the </w:t>
      </w:r>
      <w:r w:rsidR="003C0331" w:rsidRPr="00276C2A">
        <w:rPr>
          <w:sz w:val="22"/>
        </w:rPr>
        <w:t>b</w:t>
      </w:r>
      <w:r w:rsidR="0055234D" w:rsidRPr="00276C2A">
        <w:rPr>
          <w:sz w:val="22"/>
        </w:rPr>
        <w:t xml:space="preserve">eneficiary(ies) </w:t>
      </w:r>
      <w:r w:rsidRPr="00276C2A">
        <w:rPr>
          <w:sz w:val="22"/>
        </w:rPr>
        <w:t xml:space="preserve">may declare as </w:t>
      </w:r>
      <w:r w:rsidR="00517C59" w:rsidRPr="00276C2A">
        <w:rPr>
          <w:sz w:val="22"/>
        </w:rPr>
        <w:t xml:space="preserve">direct </w:t>
      </w:r>
      <w:r w:rsidRPr="00276C2A">
        <w:rPr>
          <w:sz w:val="22"/>
        </w:rPr>
        <w:t>eligible</w:t>
      </w:r>
      <w:r w:rsidR="00517C59" w:rsidRPr="00276C2A">
        <w:rPr>
          <w:sz w:val="22"/>
        </w:rPr>
        <w:t xml:space="preserve"> costs</w:t>
      </w:r>
      <w:r w:rsidRPr="00276C2A">
        <w:rPr>
          <w:sz w:val="22"/>
        </w:rPr>
        <w:t xml:space="preserve"> </w:t>
      </w:r>
      <w:r w:rsidR="00FB44D9" w:rsidRPr="00276C2A">
        <w:rPr>
          <w:sz w:val="22"/>
        </w:rPr>
        <w:t xml:space="preserve"> the portion of the operating costs of the project office</w:t>
      </w:r>
      <w:r w:rsidR="00517C59" w:rsidRPr="00276C2A">
        <w:rPr>
          <w:sz w:val="22"/>
        </w:rPr>
        <w:t xml:space="preserve"> described in the proposal</w:t>
      </w:r>
      <w:r w:rsidR="00FB44D9" w:rsidRPr="00276C2A">
        <w:rPr>
          <w:sz w:val="22"/>
        </w:rPr>
        <w:t xml:space="preserve"> which corresponds to the duration of the Action</w:t>
      </w:r>
      <w:r w:rsidR="00517C59" w:rsidRPr="00276C2A">
        <w:rPr>
          <w:sz w:val="22"/>
        </w:rPr>
        <w:t xml:space="preserve"> either based on costs actually incurred by the project office for the action or on the cost apportionment approach presented as part of the proposal. </w:t>
      </w:r>
    </w:p>
    <w:p w:rsidR="00C2718F" w:rsidRPr="00276C2A" w:rsidRDefault="00C2718F" w:rsidP="00A65B30">
      <w:pPr>
        <w:tabs>
          <w:tab w:val="left" w:pos="567"/>
        </w:tabs>
        <w:spacing w:before="120"/>
        <w:ind w:left="709" w:hanging="709"/>
        <w:jc w:val="both"/>
        <w:rPr>
          <w:sz w:val="22"/>
        </w:rPr>
      </w:pPr>
      <w:r w:rsidRPr="00276C2A">
        <w:rPr>
          <w:sz w:val="22"/>
        </w:rPr>
        <w:t>7.2</w:t>
      </w:r>
      <w:r w:rsidRPr="00276C2A">
        <w:rPr>
          <w:sz w:val="22"/>
        </w:rPr>
        <w:tab/>
        <w:t xml:space="preserve">The following derogations from </w:t>
      </w:r>
      <w:r w:rsidR="007B51F1" w:rsidRPr="00276C2A">
        <w:rPr>
          <w:sz w:val="22"/>
        </w:rPr>
        <w:t>Annex II</w:t>
      </w:r>
      <w:r w:rsidRPr="00276C2A">
        <w:rPr>
          <w:sz w:val="22"/>
        </w:rPr>
        <w:t xml:space="preserve"> shall apply:</w:t>
      </w:r>
    </w:p>
    <w:p w:rsidR="00C849DD" w:rsidRPr="0080254C" w:rsidRDefault="008C49DC" w:rsidP="00D46EF8">
      <w:pPr>
        <w:tabs>
          <w:tab w:val="left" w:pos="567"/>
          <w:tab w:val="right" w:pos="5678"/>
        </w:tabs>
        <w:autoSpaceDE w:val="0"/>
        <w:autoSpaceDN w:val="0"/>
        <w:adjustRightInd w:val="0"/>
        <w:spacing w:before="120"/>
        <w:ind w:left="567" w:hanging="567"/>
        <w:jc w:val="both"/>
        <w:rPr>
          <w:sz w:val="22"/>
          <w:szCs w:val="22"/>
          <w:lang w:eastAsia="en-GB"/>
        </w:rPr>
      </w:pPr>
      <w:r w:rsidRPr="0080254C">
        <w:rPr>
          <w:sz w:val="22"/>
          <w:szCs w:val="22"/>
          <w:lang w:eastAsia="en-GB"/>
        </w:rPr>
        <w:t>7.</w:t>
      </w:r>
      <w:r w:rsidR="00D46EF8" w:rsidRPr="0080254C">
        <w:rPr>
          <w:sz w:val="22"/>
          <w:szCs w:val="22"/>
          <w:lang w:eastAsia="en-GB"/>
        </w:rPr>
        <w:t>2.</w:t>
      </w:r>
      <w:r w:rsidR="00276C2A" w:rsidRPr="0080254C">
        <w:rPr>
          <w:sz w:val="22"/>
          <w:szCs w:val="22"/>
          <w:lang w:eastAsia="en-GB"/>
        </w:rPr>
        <w:t>1</w:t>
      </w:r>
      <w:r w:rsidR="00D46EF8" w:rsidRPr="0080254C">
        <w:rPr>
          <w:sz w:val="22"/>
          <w:szCs w:val="22"/>
          <w:lang w:eastAsia="en-GB"/>
        </w:rPr>
        <w:tab/>
      </w:r>
      <w:r w:rsidR="00E31298" w:rsidRPr="0080254C">
        <w:rPr>
          <w:sz w:val="22"/>
          <w:szCs w:val="22"/>
          <w:lang w:eastAsia="en-GB"/>
        </w:rPr>
        <w:tab/>
      </w:r>
      <w:r w:rsidR="00C849DD" w:rsidRPr="0080254C">
        <w:rPr>
          <w:sz w:val="22"/>
          <w:szCs w:val="22"/>
          <w:lang w:eastAsia="en-GB"/>
        </w:rPr>
        <w:t xml:space="preserve">By </w:t>
      </w:r>
      <w:r w:rsidR="00B479BA" w:rsidRPr="0080254C">
        <w:rPr>
          <w:sz w:val="22"/>
          <w:szCs w:val="22"/>
          <w:lang w:eastAsia="en-GB"/>
        </w:rPr>
        <w:t xml:space="preserve">way of </w:t>
      </w:r>
      <w:r w:rsidR="00C849DD" w:rsidRPr="0080254C">
        <w:rPr>
          <w:sz w:val="22"/>
          <w:szCs w:val="22"/>
          <w:lang w:eastAsia="en-GB"/>
        </w:rPr>
        <w:t>derogation from Article 15.</w:t>
      </w:r>
      <w:r w:rsidR="0040111A" w:rsidRPr="0080254C">
        <w:rPr>
          <w:sz w:val="22"/>
          <w:szCs w:val="22"/>
          <w:lang w:eastAsia="en-GB"/>
        </w:rPr>
        <w:t>6</w:t>
      </w:r>
      <w:r w:rsidR="00C849DD" w:rsidRPr="0080254C">
        <w:rPr>
          <w:sz w:val="22"/>
          <w:szCs w:val="22"/>
          <w:lang w:eastAsia="en-GB"/>
        </w:rPr>
        <w:t xml:space="preserve"> of Annex II, once the deadline laid down in Article 15.</w:t>
      </w:r>
      <w:r w:rsidR="0040111A" w:rsidRPr="0080254C">
        <w:rPr>
          <w:sz w:val="22"/>
          <w:szCs w:val="22"/>
          <w:lang w:eastAsia="en-GB"/>
        </w:rPr>
        <w:t>4</w:t>
      </w:r>
      <w:r w:rsidR="00C849DD" w:rsidRPr="0080254C">
        <w:rPr>
          <w:sz w:val="22"/>
          <w:szCs w:val="22"/>
          <w:lang w:eastAsia="en-GB"/>
        </w:rPr>
        <w:t xml:space="preserve"> has expired, the </w:t>
      </w:r>
      <w:r w:rsidR="00BF0980" w:rsidRPr="0080254C">
        <w:rPr>
          <w:sz w:val="22"/>
          <w:szCs w:val="22"/>
          <w:lang w:eastAsia="en-GB"/>
        </w:rPr>
        <w:t>c</w:t>
      </w:r>
      <w:r w:rsidR="004C5233" w:rsidRPr="0080254C">
        <w:rPr>
          <w:sz w:val="22"/>
          <w:szCs w:val="22"/>
          <w:lang w:eastAsia="en-GB"/>
        </w:rPr>
        <w:t xml:space="preserve">oordinator </w:t>
      </w:r>
      <w:r w:rsidR="00C849DD" w:rsidRPr="0080254C">
        <w:rPr>
          <w:sz w:val="22"/>
          <w:szCs w:val="22"/>
          <w:lang w:eastAsia="en-GB"/>
        </w:rPr>
        <w:t>shall</w:t>
      </w:r>
      <w:r w:rsidR="00F17942" w:rsidRPr="0080254C">
        <w:rPr>
          <w:sz w:val="22"/>
          <w:szCs w:val="22"/>
          <w:lang w:eastAsia="en-GB"/>
        </w:rPr>
        <w:t xml:space="preserve"> be entitled to late payment interest in accordance with Article 15.</w:t>
      </w:r>
      <w:r w:rsidR="0040111A" w:rsidRPr="0080254C">
        <w:rPr>
          <w:sz w:val="22"/>
          <w:szCs w:val="22"/>
          <w:lang w:eastAsia="en-GB"/>
        </w:rPr>
        <w:t>6</w:t>
      </w:r>
      <w:r w:rsidR="00F17942" w:rsidRPr="0080254C">
        <w:rPr>
          <w:sz w:val="22"/>
          <w:szCs w:val="22"/>
          <w:lang w:eastAsia="en-GB"/>
        </w:rPr>
        <w:t>. In such case, a demand must be</w:t>
      </w:r>
      <w:r w:rsidR="00111A0B" w:rsidRPr="0080254C">
        <w:rPr>
          <w:sz w:val="22"/>
          <w:szCs w:val="22"/>
          <w:lang w:eastAsia="en-GB"/>
        </w:rPr>
        <w:t xml:space="preserve"> submitted</w:t>
      </w:r>
      <w:r w:rsidR="00F17942" w:rsidRPr="0080254C">
        <w:rPr>
          <w:sz w:val="22"/>
          <w:szCs w:val="22"/>
          <w:lang w:eastAsia="en-GB"/>
        </w:rPr>
        <w:t xml:space="preserve"> </w:t>
      </w:r>
      <w:r w:rsidR="00100CB4" w:rsidRPr="0080254C">
        <w:rPr>
          <w:sz w:val="22"/>
          <w:szCs w:val="22"/>
        </w:rPr>
        <w:t>within two months of receiving late payment</w:t>
      </w:r>
      <w:r w:rsidR="00F17942" w:rsidRPr="0080254C">
        <w:rPr>
          <w:sz w:val="22"/>
          <w:szCs w:val="22"/>
        </w:rPr>
        <w:t>.</w:t>
      </w:r>
      <w:r w:rsidR="00100CB4" w:rsidRPr="0080254C">
        <w:rPr>
          <w:sz w:val="22"/>
          <w:szCs w:val="22"/>
          <w:lang w:eastAsia="en-GB"/>
        </w:rPr>
        <w:t xml:space="preserve"> </w:t>
      </w:r>
    </w:p>
    <w:p w:rsidR="0080254C" w:rsidRDefault="0080254C" w:rsidP="0080254C">
      <w:pPr>
        <w:tabs>
          <w:tab w:val="left" w:pos="567"/>
          <w:tab w:val="right" w:pos="5678"/>
        </w:tabs>
        <w:autoSpaceDE w:val="0"/>
        <w:autoSpaceDN w:val="0"/>
        <w:adjustRightInd w:val="0"/>
        <w:spacing w:before="120"/>
        <w:ind w:left="567" w:hanging="567"/>
        <w:jc w:val="both"/>
        <w:rPr>
          <w:sz w:val="22"/>
          <w:szCs w:val="22"/>
          <w:lang w:eastAsia="en-GB"/>
        </w:rPr>
      </w:pPr>
      <w:r w:rsidRPr="0080254C">
        <w:rPr>
          <w:sz w:val="22"/>
          <w:szCs w:val="22"/>
          <w:lang w:eastAsia="en-GB"/>
        </w:rPr>
        <w:t>7.2.2</w:t>
      </w:r>
      <w:r w:rsidRPr="0080254C">
        <w:rPr>
          <w:sz w:val="22"/>
          <w:szCs w:val="22"/>
          <w:lang w:eastAsia="en-GB"/>
        </w:rPr>
        <w:tab/>
        <w:t xml:space="preserve">By way of derogation from article 14.11 of Annex II, salary costs of the personnel of national administrations </w:t>
      </w:r>
      <w:r w:rsidRPr="0080254C">
        <w:rPr>
          <w:b/>
          <w:sz w:val="22"/>
          <w:szCs w:val="22"/>
          <w:lang w:eastAsia="en-GB"/>
        </w:rPr>
        <w:t>may be eligible</w:t>
      </w:r>
      <w:r w:rsidRPr="0080254C">
        <w:rPr>
          <w:sz w:val="22"/>
          <w:szCs w:val="22"/>
          <w:lang w:eastAsia="en-GB"/>
        </w:rPr>
        <w:t xml:space="preserve"> to the extent that they relate to the costs of activities which the relevant public authority would not carry out if the action were not undertaken.</w:t>
      </w:r>
    </w:p>
    <w:p w:rsidR="00E92EDA" w:rsidRDefault="00E92EDA" w:rsidP="00E92EDA">
      <w:pPr>
        <w:tabs>
          <w:tab w:val="left" w:pos="567"/>
          <w:tab w:val="right" w:pos="5678"/>
        </w:tabs>
        <w:autoSpaceDE w:val="0"/>
        <w:autoSpaceDN w:val="0"/>
        <w:adjustRightInd w:val="0"/>
        <w:spacing w:before="120"/>
        <w:ind w:left="567" w:hanging="567"/>
        <w:jc w:val="both"/>
        <w:rPr>
          <w:sz w:val="22"/>
          <w:szCs w:val="22"/>
          <w:lang w:eastAsia="en-GB"/>
        </w:rPr>
      </w:pPr>
      <w:r>
        <w:rPr>
          <w:sz w:val="22"/>
          <w:szCs w:val="22"/>
          <w:lang w:eastAsia="en-GB"/>
        </w:rPr>
        <w:t xml:space="preserve">7.2.3  </w:t>
      </w:r>
      <w:r w:rsidRPr="0080254C">
        <w:rPr>
          <w:sz w:val="22"/>
          <w:szCs w:val="22"/>
          <w:lang w:eastAsia="en-GB"/>
        </w:rPr>
        <w:t>By way of derogation from article 14.11 of Annex II,</w:t>
      </w:r>
      <w:r>
        <w:rPr>
          <w:sz w:val="22"/>
          <w:szCs w:val="22"/>
          <w:lang w:eastAsia="en-GB"/>
        </w:rPr>
        <w:t xml:space="preserve"> </w:t>
      </w:r>
      <w:r w:rsidR="00CF24D4" w:rsidRPr="00CF24D4">
        <w:rPr>
          <w:sz w:val="22"/>
          <w:szCs w:val="22"/>
          <w:lang w:eastAsia="en-GB"/>
        </w:rPr>
        <w:t>purchases of land or buildings</w:t>
      </w:r>
      <w:r w:rsidR="00CF24D4">
        <w:rPr>
          <w:sz w:val="22"/>
          <w:szCs w:val="22"/>
          <w:lang w:eastAsia="en-GB"/>
        </w:rPr>
        <w:t xml:space="preserve"> may be eligible </w:t>
      </w:r>
      <w:r w:rsidR="00CF24D4" w:rsidRPr="00CF24D4">
        <w:rPr>
          <w:sz w:val="22"/>
          <w:szCs w:val="22"/>
          <w:lang w:eastAsia="en-GB"/>
        </w:rPr>
        <w:t xml:space="preserve">be eligible </w:t>
      </w:r>
      <w:bookmarkStart w:id="0" w:name="_GoBack"/>
      <w:bookmarkEnd w:id="0"/>
      <w:r w:rsidR="00CF24D4" w:rsidRPr="00CF24D4">
        <w:rPr>
          <w:sz w:val="22"/>
          <w:szCs w:val="22"/>
          <w:lang w:eastAsia="en-GB"/>
        </w:rPr>
        <w:t xml:space="preserve">for funding if it is justified by the nature of the action, in </w:t>
      </w:r>
      <w:r w:rsidR="00CF24D4">
        <w:rPr>
          <w:sz w:val="22"/>
          <w:szCs w:val="22"/>
          <w:lang w:eastAsia="en-GB"/>
        </w:rPr>
        <w:t>which case</w:t>
      </w:r>
      <w:r w:rsidR="00CF24D4" w:rsidRPr="00CF24D4">
        <w:rPr>
          <w:sz w:val="22"/>
          <w:szCs w:val="22"/>
          <w:lang w:eastAsia="en-GB"/>
        </w:rPr>
        <w:t xml:space="preserve"> the ownership </w:t>
      </w:r>
      <w:r w:rsidR="00CF24D4">
        <w:rPr>
          <w:sz w:val="22"/>
          <w:szCs w:val="22"/>
          <w:lang w:eastAsia="en-GB"/>
        </w:rPr>
        <w:t>must</w:t>
      </w:r>
      <w:r w:rsidR="00CF24D4" w:rsidRPr="00CF24D4">
        <w:rPr>
          <w:sz w:val="22"/>
          <w:szCs w:val="22"/>
          <w:lang w:eastAsia="en-GB"/>
        </w:rPr>
        <w:t xml:space="preserve"> be transferred in accordance with Article 7.5, at the latest at the end of the action</w:t>
      </w:r>
      <w:r w:rsidR="00CF24D4">
        <w:rPr>
          <w:sz w:val="22"/>
          <w:szCs w:val="22"/>
          <w:lang w:eastAsia="en-GB"/>
        </w:rPr>
        <w:t>.</w:t>
      </w:r>
    </w:p>
    <w:p w:rsidR="00AF5E48" w:rsidRPr="0080254C" w:rsidRDefault="00AF5E48" w:rsidP="0061088F">
      <w:pPr>
        <w:tabs>
          <w:tab w:val="left" w:pos="-1440"/>
          <w:tab w:val="left" w:pos="-720"/>
        </w:tabs>
        <w:spacing w:before="120"/>
        <w:jc w:val="both"/>
        <w:rPr>
          <w:sz w:val="22"/>
          <w:szCs w:val="22"/>
        </w:rPr>
      </w:pPr>
      <w:r w:rsidRPr="0061088F">
        <w:rPr>
          <w:sz w:val="22"/>
          <w:szCs w:val="22"/>
          <w:highlight w:val="yellow"/>
          <w:lang w:eastAsia="en-GB"/>
        </w:rPr>
        <w:t>7.3.1</w:t>
      </w:r>
      <w:r w:rsidRPr="0080254C">
        <w:rPr>
          <w:sz w:val="22"/>
          <w:szCs w:val="22"/>
          <w:lang w:eastAsia="en-GB"/>
        </w:rPr>
        <w:tab/>
      </w:r>
      <w:r w:rsidRPr="00BC03E0">
        <w:rPr>
          <w:sz w:val="22"/>
          <w:szCs w:val="22"/>
          <w:highlight w:val="yellow"/>
        </w:rPr>
        <w:t>Whe</w:t>
      </w:r>
      <w:r>
        <w:rPr>
          <w:sz w:val="22"/>
          <w:szCs w:val="22"/>
          <w:highlight w:val="yellow"/>
        </w:rPr>
        <w:t>re</w:t>
      </w:r>
      <w:r w:rsidRPr="00BC03E0">
        <w:rPr>
          <w:sz w:val="22"/>
          <w:szCs w:val="22"/>
          <w:highlight w:val="yellow"/>
        </w:rPr>
        <w:t xml:space="preserve"> one of the </w:t>
      </w:r>
      <w:r>
        <w:rPr>
          <w:sz w:val="22"/>
          <w:szCs w:val="22"/>
          <w:highlight w:val="yellow"/>
        </w:rPr>
        <w:t>b</w:t>
      </w:r>
      <w:r w:rsidRPr="00BC03E0">
        <w:rPr>
          <w:sz w:val="22"/>
          <w:szCs w:val="22"/>
          <w:highlight w:val="yellow"/>
        </w:rPr>
        <w:t xml:space="preserve">eneficiaries is an </w:t>
      </w:r>
      <w:r>
        <w:rPr>
          <w:sz w:val="22"/>
          <w:szCs w:val="22"/>
          <w:highlight w:val="yellow"/>
        </w:rPr>
        <w:t>i</w:t>
      </w:r>
      <w:r w:rsidRPr="00BC03E0">
        <w:rPr>
          <w:sz w:val="22"/>
          <w:szCs w:val="22"/>
          <w:highlight w:val="yellow"/>
        </w:rPr>
        <w:t xml:space="preserve">nternational </w:t>
      </w:r>
      <w:r>
        <w:rPr>
          <w:sz w:val="22"/>
          <w:szCs w:val="22"/>
          <w:highlight w:val="yellow"/>
        </w:rPr>
        <w:t>o</w:t>
      </w:r>
      <w:r w:rsidRPr="00BC03E0">
        <w:rPr>
          <w:sz w:val="22"/>
          <w:szCs w:val="22"/>
          <w:highlight w:val="yellow"/>
        </w:rPr>
        <w:t>rganisation refer to annex e3h11_derogations_IOs for the clauses to insert here.</w:t>
      </w:r>
    </w:p>
    <w:p w:rsidR="0080254C" w:rsidRPr="00A85984" w:rsidRDefault="0080254C" w:rsidP="0080254C">
      <w:pPr>
        <w:keepNext/>
        <w:keepLines/>
        <w:tabs>
          <w:tab w:val="left" w:pos="284"/>
        </w:tabs>
        <w:spacing w:before="240" w:after="120"/>
        <w:ind w:left="567" w:hanging="567"/>
        <w:jc w:val="both"/>
        <w:rPr>
          <w:sz w:val="22"/>
          <w:szCs w:val="22"/>
          <w:highlight w:val="lightGray"/>
        </w:rPr>
      </w:pPr>
      <w:r w:rsidRPr="0080254C">
        <w:rPr>
          <w:sz w:val="22"/>
          <w:szCs w:val="22"/>
          <w:lang w:eastAsia="en-GB"/>
        </w:rPr>
        <w:t>7.3.</w:t>
      </w:r>
      <w:r w:rsidR="00AF5E48">
        <w:rPr>
          <w:sz w:val="22"/>
          <w:szCs w:val="22"/>
          <w:lang w:eastAsia="en-GB"/>
        </w:rPr>
        <w:t>2</w:t>
      </w:r>
      <w:r w:rsidRPr="0080254C">
        <w:rPr>
          <w:sz w:val="22"/>
          <w:szCs w:val="22"/>
        </w:rPr>
        <w:tab/>
      </w:r>
      <w:r w:rsidR="009A35BC" w:rsidRPr="0080254C">
        <w:rPr>
          <w:sz w:val="22"/>
          <w:szCs w:val="22"/>
        </w:rPr>
        <w:t>For the purpose of</w:t>
      </w:r>
      <w:r w:rsidR="009A35BC" w:rsidRPr="0080254C">
        <w:t xml:space="preserve"> </w:t>
      </w:r>
      <w:r w:rsidR="009A35BC" w:rsidRPr="0080254C">
        <w:rPr>
          <w:sz w:val="22"/>
          <w:szCs w:val="22"/>
        </w:rPr>
        <w:t>Article 1.3 and 1.4 of the general conditions, for the part of the data transferred by the contracting authority to the European Commission the controller for the processing of personal data carried out within the Commission is</w:t>
      </w:r>
      <w:r w:rsidRPr="0080254C">
        <w:rPr>
          <w:sz w:val="22"/>
          <w:szCs w:val="22"/>
        </w:rPr>
        <w:t xml:space="preserve"> the head of contracts and finance unit R4 of DG</w:t>
      </w:r>
      <w:r w:rsidRPr="00D950BC">
        <w:rPr>
          <w:sz w:val="22"/>
          <w:szCs w:val="22"/>
        </w:rPr>
        <w:t xml:space="preserve"> Neighbourhood and Enlargement Negotiations.</w:t>
      </w:r>
    </w:p>
    <w:p w:rsidR="009A35BC" w:rsidRPr="0080254C" w:rsidRDefault="009A35BC" w:rsidP="009A35BC">
      <w:pPr>
        <w:rPr>
          <w:sz w:val="22"/>
          <w:szCs w:val="22"/>
        </w:rPr>
      </w:pPr>
      <w:r w:rsidRPr="0080254C">
        <w:rPr>
          <w:sz w:val="22"/>
          <w:szCs w:val="22"/>
        </w:rPr>
        <w:t>7.3</w:t>
      </w:r>
      <w:r w:rsidR="0080254C" w:rsidRPr="0080254C">
        <w:rPr>
          <w:sz w:val="22"/>
          <w:szCs w:val="22"/>
        </w:rPr>
        <w:t>.</w:t>
      </w:r>
      <w:r w:rsidR="00AF5E48">
        <w:rPr>
          <w:sz w:val="22"/>
          <w:szCs w:val="22"/>
        </w:rPr>
        <w:t>3</w:t>
      </w:r>
      <w:r w:rsidRPr="0080254C">
        <w:rPr>
          <w:sz w:val="22"/>
          <w:szCs w:val="22"/>
        </w:rPr>
        <w:t xml:space="preserve">  Articles 1.3 and 1.4 of Annex II shall be replaced by the following:</w:t>
      </w:r>
    </w:p>
    <w:p w:rsidR="009A35BC" w:rsidRPr="0080254C" w:rsidRDefault="009A35BC" w:rsidP="009A35BC">
      <w:pPr>
        <w:jc w:val="both"/>
        <w:rPr>
          <w:sz w:val="22"/>
          <w:szCs w:val="22"/>
        </w:rPr>
      </w:pPr>
      <w:r w:rsidRPr="0080254C">
        <w:rPr>
          <w:sz w:val="22"/>
          <w:szCs w:val="22"/>
        </w:rPr>
        <w:lastRenderedPageBreak/>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rsidR="009A35BC" w:rsidRPr="0080254C" w:rsidRDefault="009A35BC" w:rsidP="009A35BC">
      <w:pPr>
        <w:jc w:val="both"/>
        <w:rPr>
          <w:sz w:val="22"/>
          <w:szCs w:val="22"/>
        </w:rPr>
      </w:pPr>
    </w:p>
    <w:p w:rsidR="000B771A" w:rsidRPr="00764A85" w:rsidRDefault="009A35BC" w:rsidP="0080254C">
      <w:pPr>
        <w:jc w:val="both"/>
        <w:rPr>
          <w:sz w:val="22"/>
          <w:szCs w:val="22"/>
          <w:lang w:eastAsia="en-GB"/>
        </w:rPr>
      </w:pPr>
      <w:r w:rsidRPr="0080254C">
        <w:rPr>
          <w:sz w:val="22"/>
          <w:szCs w:val="22"/>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0254C">
        <w:rPr>
          <w:rStyle w:val="FootnoteReference"/>
          <w:sz w:val="22"/>
          <w:szCs w:val="22"/>
        </w:rPr>
        <w:footnoteReference w:id="3"/>
      </w:r>
      <w:r w:rsidRPr="0080254C">
        <w:rPr>
          <w:sz w:val="22"/>
          <w:szCs w:val="22"/>
        </w:rPr>
        <w:t xml:space="preserve"> and as detailed in the specific privacy statement published at ePRAG.</w:t>
      </w:r>
    </w:p>
    <w:p w:rsidR="0080254C" w:rsidRDefault="0080254C" w:rsidP="00290199">
      <w:pPr>
        <w:keepNext/>
        <w:spacing w:before="120" w:after="240"/>
        <w:jc w:val="both"/>
        <w:rPr>
          <w:sz w:val="22"/>
          <w:szCs w:val="22"/>
        </w:rPr>
      </w:pPr>
    </w:p>
    <w:p w:rsidR="00544550" w:rsidRPr="00764A85" w:rsidRDefault="00544550" w:rsidP="00290199">
      <w:pPr>
        <w:keepNext/>
        <w:spacing w:before="120" w:after="240"/>
        <w:jc w:val="both"/>
        <w:rPr>
          <w:sz w:val="22"/>
          <w:szCs w:val="22"/>
        </w:rPr>
      </w:pPr>
      <w:r w:rsidRPr="00764A85">
        <w:rPr>
          <w:sz w:val="22"/>
          <w:szCs w:val="22"/>
        </w:rPr>
        <w:t xml:space="preserve">Done in English in </w:t>
      </w:r>
      <w:r w:rsidR="0080254C">
        <w:rPr>
          <w:sz w:val="22"/>
          <w:szCs w:val="22"/>
        </w:rPr>
        <w:t>four</w:t>
      </w:r>
      <w:r w:rsidRPr="00764A85">
        <w:rPr>
          <w:sz w:val="22"/>
          <w:szCs w:val="22"/>
        </w:rPr>
        <w:t xml:space="preserve"> originals</w:t>
      </w:r>
      <w:r w:rsidR="0080254C">
        <w:rPr>
          <w:sz w:val="22"/>
          <w:szCs w:val="22"/>
        </w:rPr>
        <w:t>,</w:t>
      </w:r>
      <w:r w:rsidR="0080254C" w:rsidRPr="0080254C">
        <w:rPr>
          <w:sz w:val="22"/>
          <w:szCs w:val="22"/>
        </w:rPr>
        <w:t xml:space="preserve"> </w:t>
      </w:r>
      <w:r w:rsidR="0080254C" w:rsidRPr="003C449D">
        <w:rPr>
          <w:sz w:val="22"/>
          <w:szCs w:val="22"/>
        </w:rPr>
        <w:t xml:space="preserve">one original being for the contracting authority, one original being for the European Commission, one original being for the Project Implementation </w:t>
      </w:r>
      <w:r w:rsidR="0080254C" w:rsidRPr="005F7B4E">
        <w:rPr>
          <w:sz w:val="22"/>
          <w:szCs w:val="22"/>
        </w:rPr>
        <w:t xml:space="preserve">Unit within the Ministry </w:t>
      </w:r>
      <w:r w:rsidR="0080254C">
        <w:rPr>
          <w:sz w:val="22"/>
          <w:szCs w:val="22"/>
        </w:rPr>
        <w:t xml:space="preserve">of Economic Development and Tourism </w:t>
      </w:r>
      <w:r w:rsidR="0080254C" w:rsidRPr="005F7B4E">
        <w:rPr>
          <w:sz w:val="22"/>
          <w:szCs w:val="22"/>
        </w:rPr>
        <w:t>and one original being for th</w:t>
      </w:r>
      <w:r w:rsidR="0080254C" w:rsidRPr="003C449D">
        <w:rPr>
          <w:sz w:val="22"/>
          <w:szCs w:val="22"/>
        </w:rPr>
        <w:t>e beneficiary(ies).</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4"/>
            </w:r>
          </w:p>
        </w:tc>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Name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Name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Title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Title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Date</w:t>
            </w:r>
          </w:p>
        </w:tc>
        <w:tc>
          <w:tcPr>
            <w:tcW w:w="2322" w:type="dxa"/>
          </w:tcPr>
          <w:p w:rsidR="009A0B27" w:rsidRPr="00764A85" w:rsidRDefault="009A0B27" w:rsidP="007205EA">
            <w:pPr>
              <w:pStyle w:val="BodyText"/>
              <w:spacing w:before="120" w:after="240"/>
              <w:rPr>
                <w:sz w:val="22"/>
              </w:rPr>
            </w:pPr>
          </w:p>
        </w:tc>
      </w:tr>
    </w:tbl>
    <w:p w:rsidR="009A0B27" w:rsidRPr="00A85984" w:rsidRDefault="009A0B27" w:rsidP="0080254C">
      <w:pPr>
        <w:spacing w:before="120"/>
        <w:jc w:val="both"/>
        <w:rPr>
          <w:highlight w:val="lightGray"/>
        </w:rPr>
      </w:pPr>
    </w:p>
    <w:sectPr w:rsidR="009A0B27" w:rsidRPr="00A85984" w:rsidSect="004A6955">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984" w:rsidRPr="00B479BA" w:rsidRDefault="00A85984">
      <w:r w:rsidRPr="00B479BA">
        <w:separator/>
      </w:r>
    </w:p>
  </w:endnote>
  <w:endnote w:type="continuationSeparator" w:id="0">
    <w:p w:rsidR="00A85984" w:rsidRPr="00B479BA" w:rsidRDefault="00A85984">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483B7E" w:rsidP="00764A85">
    <w:pPr>
      <w:pStyle w:val="Footer"/>
      <w:tabs>
        <w:tab w:val="clear" w:pos="4320"/>
        <w:tab w:val="clear" w:pos="8640"/>
        <w:tab w:val="right" w:pos="9356"/>
      </w:tabs>
      <w:rPr>
        <w:sz w:val="18"/>
        <w:szCs w:val="18"/>
      </w:rPr>
    </w:pPr>
    <w:r w:rsidRPr="00483B7E">
      <w:rPr>
        <w:b/>
        <w:sz w:val="18"/>
        <w:szCs w:val="18"/>
      </w:rPr>
      <w:t>202</w:t>
    </w:r>
    <w:r w:rsidR="002C4DA0">
      <w:rPr>
        <w:b/>
        <w:sz w:val="18"/>
        <w:szCs w:val="18"/>
      </w:rPr>
      <w:t>1</w:t>
    </w:r>
    <w:r w:rsidR="008426E6">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D0769C">
      <w:rPr>
        <w:noProof/>
        <w:sz w:val="18"/>
        <w:szCs w:val="18"/>
      </w:rPr>
      <w:t>4</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D0769C">
      <w:rPr>
        <w:noProof/>
        <w:sz w:val="18"/>
        <w:szCs w:val="18"/>
      </w:rPr>
      <w:t>5</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0E05DC">
      <w:rPr>
        <w:noProof/>
        <w:sz w:val="18"/>
        <w:szCs w:val="18"/>
      </w:rPr>
      <w:t>e3h1_speccond_en</w:t>
    </w:r>
    <w:r w:rsidRPr="00FE47EA">
      <w:rPr>
        <w:sz w:val="18"/>
        <w:szCs w:val="18"/>
      </w:rPr>
      <w:fldChar w:fldCharType="end"/>
    </w:r>
    <w:r w:rsidRPr="00B479BA">
      <w:rPr>
        <w:sz w:val="18"/>
        <w:szCs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984" w:rsidRPr="00B479BA" w:rsidRDefault="00A85984">
      <w:r w:rsidRPr="00B479BA">
        <w:separator/>
      </w:r>
    </w:p>
  </w:footnote>
  <w:footnote w:type="continuationSeparator" w:id="0">
    <w:p w:rsidR="00A85984" w:rsidRPr="00B479BA" w:rsidRDefault="00A85984">
      <w:r w:rsidRPr="00B479BA">
        <w:continuationSeparator/>
      </w:r>
    </w:p>
  </w:footnote>
  <w:footnote w:id="1">
    <w:p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023FBD">
        <w:t xml:space="preserve">In case of </w:t>
      </w:r>
      <w:r w:rsidR="00B964DD" w:rsidRPr="00023FBD">
        <w:t>a</w:t>
      </w:r>
      <w:r w:rsidRPr="00023FBD">
        <w:t xml:space="preserve">ction grants, note that the amount awarded and percentages stated in this </w:t>
      </w:r>
      <w:r w:rsidR="00BF0980" w:rsidRPr="00023FBD">
        <w:t>a</w:t>
      </w:r>
      <w:r w:rsidRPr="00023FBD">
        <w:t xml:space="preserve">rticle shall also be updated in Annex III Budget of the </w:t>
      </w:r>
      <w:r w:rsidR="00BF0980" w:rsidRPr="00023FBD">
        <w:t>a</w:t>
      </w:r>
      <w:r w:rsidRPr="00023FBD">
        <w:t>ction, in the worksheet ‘Expected sources of funding and summary of estimated costs’.</w:t>
      </w:r>
    </w:p>
  </w:footnote>
  <w:footnote w:id="3">
    <w:p w:rsidR="009A35BC" w:rsidRDefault="009A35BC" w:rsidP="00191C3D">
      <w:pPr>
        <w:pStyle w:val="FootnoteText"/>
        <w:jc w:val="both"/>
      </w:pPr>
      <w:r>
        <w:rPr>
          <w:rStyle w:val="FootnoteReference"/>
        </w:rPr>
        <w:footnoteRef/>
      </w:r>
      <w:r>
        <w:t xml:space="preserve"> OJ L 205 of 21.11.2018, p. 39.</w:t>
      </w:r>
    </w:p>
  </w:footnote>
  <w:footnote w:id="4">
    <w:p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32C"/>
    <w:rsid w:val="000129F3"/>
    <w:rsid w:val="00015139"/>
    <w:rsid w:val="00016342"/>
    <w:rsid w:val="00016C74"/>
    <w:rsid w:val="00023FBD"/>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C2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18AE"/>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88F"/>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403"/>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0F8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54C"/>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1E9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5984"/>
    <w:rsid w:val="00A86930"/>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3FB4"/>
    <w:rsid w:val="00AC4A5B"/>
    <w:rsid w:val="00AC591B"/>
    <w:rsid w:val="00AD59DC"/>
    <w:rsid w:val="00AE702D"/>
    <w:rsid w:val="00AF03CC"/>
    <w:rsid w:val="00AF0E95"/>
    <w:rsid w:val="00AF5E48"/>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2FF2"/>
    <w:rsid w:val="00CB362C"/>
    <w:rsid w:val="00CB3AE7"/>
    <w:rsid w:val="00CB422C"/>
    <w:rsid w:val="00CB5889"/>
    <w:rsid w:val="00CC19D2"/>
    <w:rsid w:val="00CC3EAF"/>
    <w:rsid w:val="00CC6A4B"/>
    <w:rsid w:val="00CD0D3A"/>
    <w:rsid w:val="00CD2939"/>
    <w:rsid w:val="00CD7495"/>
    <w:rsid w:val="00CE6A4E"/>
    <w:rsid w:val="00CE77A3"/>
    <w:rsid w:val="00CF24D4"/>
    <w:rsid w:val="00CF39D3"/>
    <w:rsid w:val="00D00573"/>
    <w:rsid w:val="00D02361"/>
    <w:rsid w:val="00D0769C"/>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0619A"/>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2EDA"/>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4DB3"/>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DA27FFAD-ABBC-4F15-8E2D-4600416F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1858</Words>
  <Characters>10594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Dragomir Markovic</cp:lastModifiedBy>
  <cp:revision>14</cp:revision>
  <cp:lastPrinted>2014-01-20T08:23:00Z</cp:lastPrinted>
  <dcterms:created xsi:type="dcterms:W3CDTF">2021-06-23T15:35:00Z</dcterms:created>
  <dcterms:modified xsi:type="dcterms:W3CDTF">2022-09-27T11:12:00Z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